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9_edei--DocumentType_c2026082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August 20,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1_edei--EntityRegistrantName_c2026"/>
      <w:bookmarkEnd w:id="4"/>
      <w:r>
        <w:rPr>
          <w:rFonts w:ascii="Times New Roman;Times;Serif" w:hAnsi="Times New Roman;Times;Serif"/>
          <w:b/>
          <w:i w:val="false"/>
          <w:caps w:val="false"/>
          <w:smallCaps w:val="false"/>
          <w:sz w:val="36"/>
        </w:rPr>
        <w:t>SPORTS ENTERTAINMENT GAMING GLOBAL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055" w:type="dxa"/>
        <w:jc w:val="left"/>
        <w:tblInd w:w="0" w:type="dxa"/>
        <w:tblLayout w:type="fixed"/>
        <w:tblCellMar>
          <w:top w:w="0" w:type="dxa"/>
          <w:left w:w="0" w:type="dxa"/>
          <w:bottom w:w="0" w:type="dxa"/>
          <w:right w:w="0" w:type="dxa"/>
        </w:tblCellMar>
      </w:tblPr>
      <w:tblGrid>
        <w:gridCol w:w="2225"/>
        <w:gridCol w:w="60"/>
        <w:gridCol w:w="1145"/>
        <w:gridCol w:w="60"/>
        <w:gridCol w:w="1565"/>
      </w:tblGrid>
      <w:tr>
        <w:trPr/>
        <w:tc>
          <w:tcPr>
            <w:tcW w:w="22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8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9_edei--EntityFileNumber_c20260820"/>
            <w:bookmarkEnd w:id="6"/>
            <w:r>
              <w:rPr>
                <w:rFonts w:ascii="Times New Roman;Times;Serif" w:hAnsi="Times New Roman;Times;Serif"/>
                <w:b/>
                <w:i w:val="false"/>
                <w:caps w:val="false"/>
                <w:smallCaps w:val="false"/>
                <w:sz w:val="20"/>
              </w:rPr>
              <w:t>001-38508</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D_edei--EntityTaxIdentificationNum"/>
            <w:bookmarkEnd w:id="7"/>
            <w:r>
              <w:rPr>
                <w:rFonts w:ascii="Times New Roman;Times;Serif" w:hAnsi="Times New Roman;Times;Serif"/>
                <w:b/>
                <w:i w:val="false"/>
                <w:caps w:val="false"/>
                <w:smallCaps w:val="false"/>
                <w:sz w:val="20"/>
              </w:rPr>
              <w:t>81-1996183</w:t>
            </w:r>
          </w:p>
        </w:tc>
      </w:tr>
      <w:tr>
        <w:trPr/>
        <w:tc>
          <w:tcPr>
            <w:tcW w:w="2225"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(Commission </w:t>
              <w:b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(I.R.S. Employer </w:t>
              <w:br/>
              <w:t>Identification No.)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 xml:space="preserve">5049 Edwards Ranch Rd., </w:t>
      </w:r>
      <w:bookmarkStart w:id="9" w:name="xdx_90C_edei--EntityAddressAddressLine2_"/>
      <w:bookmarkEnd w:id="9"/>
      <w:r>
        <w:rPr>
          <w:rFonts w:ascii="Times New Roman;Times;Serif" w:hAnsi="Times New Roman;Times;Serif"/>
          <w:b/>
          <w:i w:val="false"/>
          <w:caps w:val="false"/>
          <w:smallCaps w:val="false"/>
          <w:sz w:val="20"/>
        </w:rPr>
        <w:t>4th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A_edei--EntityAddressCityOrTown_c2"/>
      <w:bookmarkEnd w:id="10"/>
      <w:r>
        <w:rPr>
          <w:rFonts w:ascii="Times New Roman;Times;Serif" w:hAnsi="Times New Roman;Times;Serif"/>
          <w:b/>
          <w:i w:val="false"/>
          <w:caps w:val="false"/>
          <w:smallCaps w:val="false"/>
          <w:sz w:val="20"/>
        </w:rPr>
        <w:t xml:space="preserve">Fort Worth, </w:t>
      </w:r>
      <w:bookmarkStart w:id="11" w:name="xdx_905_edei--EntityAddressStateOrProvin"/>
      <w:bookmarkEnd w:id="11"/>
      <w:r>
        <w:rPr>
          <w:rFonts w:ascii="Times New Roman;Times;Serif" w:hAnsi="Times New Roman;Times;Serif"/>
          <w:b/>
          <w:i w:val="false"/>
          <w:caps w:val="false"/>
          <w:smallCaps w:val="false"/>
          <w:sz w:val="20"/>
        </w:rPr>
        <w:t xml:space="preserve">Texas </w:t>
      </w:r>
      <w:bookmarkStart w:id="12" w:name="xdx_90D_edei--EntityAddressPostalZipCode"/>
      <w:bookmarkEnd w:id="12"/>
      <w:r>
        <w:rPr>
          <w:rFonts w:ascii="Times New Roman;Times;Serif" w:hAnsi="Times New Roman;Times;Serif"/>
          <w:b/>
          <w:i w:val="false"/>
          <w:caps w:val="false"/>
          <w:smallCaps w:val="false"/>
          <w:sz w:val="20"/>
        </w:rPr>
        <w:t>76109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3" w:name="xdx_903_edei--CityAreaCode_c20260820__20"/>
      <w:bookmarkEnd w:id="13"/>
      <w:r>
        <w:rPr>
          <w:rFonts w:ascii="Times New Roman;Times;Serif" w:hAnsi="Times New Roman;Times;Serif"/>
          <w:b/>
          <w:i w:val="false"/>
          <w:caps w:val="false"/>
          <w:smallCaps w:val="false"/>
          <w:sz w:val="20"/>
        </w:rPr>
        <w:t xml:space="preserve">(737) </w:t>
      </w:r>
      <w:bookmarkStart w:id="14" w:name="xdx_90B_edei--LocalPhoneNumber_c20260820"/>
      <w:bookmarkEnd w:id="14"/>
      <w:r>
        <w:rPr>
          <w:rFonts w:ascii="Times New Roman;Times;Serif" w:hAnsi="Times New Roman;Times;Serif"/>
          <w:b/>
          <w:i w:val="false"/>
          <w:caps w:val="false"/>
          <w:smallCaps w:val="false"/>
          <w:sz w:val="20"/>
        </w:rPr>
        <w:t>787-3798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xdx_902_edei--EntityInformationFormerLeg"/>
      <w:bookmarkEnd w:id="15"/>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6" w:name="xdx_906_edei--WrittenCommunications_c202"/>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7_edei--SolicitingMaterial_c202608"/>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4_edei--PreCommencementTenderOffer"/>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9" w:name="xdx_90A_edei--PreCommencementIssuerTende"/>
            <w:bookmarkEnd w:id="19"/>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678"/>
        <w:gridCol w:w="60"/>
        <w:gridCol w:w="1391"/>
        <w:gridCol w:w="60"/>
        <w:gridCol w:w="3016"/>
      </w:tblGrid>
      <w:tr>
        <w:trPr/>
        <w:tc>
          <w:tcPr>
            <w:tcW w:w="5678"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91"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16"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567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0" w:name="xdx_905_edei--Security12bTitle_c20260820"/>
            <w:bookmarkEnd w:id="20"/>
            <w:r>
              <w:rPr>
                <w:rFonts w:ascii="Times New Roman;Times;Serif" w:hAnsi="Times New Roman;Times;Serif"/>
                <w:b w:val="false"/>
                <w:i w:val="false"/>
                <w:caps w:val="false"/>
                <w:smallCaps w:val="false"/>
                <w:sz w:val="20"/>
              </w:rPr>
              <w:t>Common Stock, $0.001 par value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9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1" w:name="xdx_906_edei--TradingSymbol_c20260820__2"/>
            <w:bookmarkEnd w:id="21"/>
            <w:r>
              <w:rPr>
                <w:rFonts w:ascii="Times New Roman;Times;Serif" w:hAnsi="Times New Roman;Times;Serif"/>
                <w:b w:val="false"/>
                <w:i w:val="false"/>
                <w:caps w:val="false"/>
                <w:smallCaps w:val="false"/>
                <w:sz w:val="20"/>
              </w:rPr>
              <w:t>SEGG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1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2" w:name="xdx_903_edei--SecurityExchangeName_c2026"/>
            <w:bookmarkEnd w:id="22"/>
            <w:r>
              <w:rPr>
                <w:rFonts w:ascii="Times New Roman;Times;Serif" w:hAnsi="Times New Roman;Times;Serif"/>
                <w:b w:val="false"/>
                <w:i w:val="false"/>
                <w:caps w:val="false"/>
                <w:smallCaps w:val="false"/>
                <w:sz w:val="20"/>
              </w:rPr>
              <w:t>The Nasdaq Stock Market LLC</w:t>
            </w:r>
          </w:p>
        </w:tc>
      </w:tr>
      <w:tr>
        <w:trPr/>
        <w:tc>
          <w:tcPr>
            <w:tcW w:w="567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3" w:name="xdx_909_edei--Security12bTitle_c20260820"/>
            <w:bookmarkEnd w:id="23"/>
            <w:r>
              <w:rPr>
                <w:rFonts w:ascii="Times New Roman;Times;Serif" w:hAnsi="Times New Roman;Times;Serif"/>
                <w:b w:val="false"/>
                <w:i w:val="false"/>
                <w:caps w:val="false"/>
                <w:smallCaps w:val="false"/>
                <w:sz w:val="20"/>
              </w:rPr>
              <w:t>Warrants to purchase one share of common stock, each at an exercise price of $16,100.00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9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4" w:name="xdx_90D_edei--TradingSymbol_c20260820__2"/>
            <w:bookmarkEnd w:id="24"/>
            <w:r>
              <w:rPr>
                <w:rFonts w:ascii="Times New Roman;Times;Serif" w:hAnsi="Times New Roman;Times;Serif"/>
                <w:b w:val="false"/>
                <w:i w:val="false"/>
                <w:caps w:val="false"/>
                <w:smallCaps w:val="false"/>
                <w:sz w:val="20"/>
              </w:rPr>
              <w:t>LTRYW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1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5" w:name="xdx_907_edei--SecurityExchangeName_c2026"/>
            <w:bookmarkEnd w:id="25"/>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6" w:name="xdx_907_edei--EntityEmergingGrowthCompan"/>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7" w:name="xdx_901_edei--EntityExTransitionPeriod_c"/>
      <w:bookmarkEnd w:id="27"/>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3.01. Notice of Delisting or Failure to Satisfy a Continued Listing Rule or Standard; Transfer of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Continued Engagement with Nasdaq Staff on Compliance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2026, Sports Entertainment Gaming Global Corporation (the “Company”) received a letter (the “Nasdaq Letter”) from the Listing Qualifications Department (the “Staff”) of The Nasdaq Stock Market LLC (“Nasdaq”) notifying the Company that, because the Company has not yet filed its Quarterly Report on Form 10-Q for the fiscal quarter ended June 30, 2026, and remains delinquent in filing its Quarterly Report on Form 10-Q for the fiscal quarter ended March 31, 2026, the Company is not in compliance with Nasdaq Listing Rule 5250(c)(1), which requires listed companies to timely file all periodic financial reports required to be filed with the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Letter is an additional notice of Staff deficiency letters, with prior letters dated April 17, 2026 and May 21, 2026, relating to the Company’s periodic reporting delinquencies. The first of these delinquencies, the Company’s Annual Report on Form 10-K for the fiscal year ended December 31, 2025, has since been cured; the Company filed that report on July 10, 2026. The delinquencies giving rise to the Nasdaq Letter are the Company’s Quarterly Reports on Form 10-Q for the fiscal quarters ended March 31, 2026 and June 30, 2026, both of which remain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Letter states that any exception granted by the Staff to allow the Company to regain compliance with the Rule will be limited to October 12, 2026, representing 180 calendar days from April 15, 2026, the due date of the Form 10-K (after giving effect to the Company’s Rule 12b-25 extension) — the first delinquent periodic report in this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Letter requests that the Company submit an updated plan to regain compliance no later than September 4, 2026. Following its review of the plan, the Staff will notify the Company in writing of its decision. If the Staff does not accept the Company’s plan, the Company will have the right to appeal that determination to a Nasdaq Hearings Panel pursuant to Listing Rule 5815.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Letter has no immediate effect on the listing of the Company’s common stock, which will continue to trade on The Nasdaq Capital Market under the symbol “SEGG,” subject to the Company’s compliance with the matters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submit its plan to regain compliance to the Staff by the September 4, 2026 deadline and to work diligently to complete and file its delinquent Quarterly Reports on Form 10-Q for the periods ended March 31, 2026 and June 30, 2026 as promptly as practicable.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SPORTS ENTERTAINMENT GAMING GLOBAL CORPORATION</w:t>
      </w:r>
    </w:p>
    <w:p>
      <w:pPr>
        <w:pStyle w:val="TextBody"/>
        <w:bidi w:val="0"/>
        <w:spacing w:before="0" w:after="0"/>
        <w:ind w:left="0" w:right="0" w:hanging="0"/>
        <w:jc w:val="both"/>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605"/>
        <w:gridCol w:w="2045"/>
        <w:gridCol w:w="75"/>
      </w:tblGrid>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J. Stubblefield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2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J. Stubblefield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2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27,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816</Words>
  <Characters>4329</Characters>
  <CharactersWithSpaces>5149</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