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26,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Sports Entertainment Gaming Global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00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4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001-38508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No. 81-1996183</w:t>
            </w:r>
          </w:p>
        </w:tc>
      </w:tr>
      <w:tr>
        <w:trPr>
          <w:trHeight w:val="187"/>
        </w:trPr>
        <w:tc>
          <w:tcPr>
            <w:tcW w:w="3000" w:type="dxa"/>
            <w:vAlign w:val="bottom"/>
            <w:tcBorders>
              <w:top w:val="single" w:sz="8" w:color="auto"/>
            </w:tcBorders>
          </w:tcPr>
          <w:p>
            <w:pPr>
              <w:jc w:val="center"/>
              <w:ind w:left="530"/>
              <w:spacing w:after="0" w:line="188"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6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(Commission</w:t>
            </w: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3360" w:type="dxa"/>
            <w:vAlign w:val="bottom"/>
            <w:tcBorders>
              <w:top w:val="single" w:sz="8" w:color="auto"/>
            </w:tcBorders>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00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4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33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50"/>
        </w:trPr>
        <w:tc>
          <w:tcPr>
            <w:tcW w:w="788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5049 Edwards Ranch Rd., 4</w:t>
            </w:r>
            <w:r>
              <w:rPr>
                <w:rFonts w:ascii="Times New Roman" w:cs="Times New Roman" w:eastAsia="Times New Roman" w:hAnsi="Times New Roman"/>
                <w:sz w:val="29"/>
                <w:szCs w:val="29"/>
                <w:b w:val="1"/>
                <w:bCs w:val="1"/>
                <w:color w:val="auto"/>
                <w:w w:val="98"/>
                <w:vertAlign w:val="superscript"/>
              </w:rPr>
              <w:t>th</w:t>
            </w:r>
            <w:r>
              <w:rPr>
                <w:rFonts w:ascii="Times New Roman" w:cs="Times New Roman" w:eastAsia="Times New Roman" w:hAnsi="Times New Roman"/>
                <w:sz w:val="18"/>
                <w:szCs w:val="18"/>
                <w:b w:val="1"/>
                <w:bCs w:val="1"/>
                <w:color w:val="auto"/>
                <w:w w:val="98"/>
              </w:rPr>
              <w:t xml:space="preserve"> Floor</w:t>
            </w:r>
          </w:p>
        </w:tc>
        <w:tc>
          <w:tcPr>
            <w:tcW w:w="3360" w:type="dxa"/>
            <w:vAlign w:val="bottom"/>
          </w:tcPr>
          <w:p>
            <w:pPr>
              <w:spacing w:after="0"/>
              <w:rPr>
                <w:sz w:val="24"/>
                <w:szCs w:val="24"/>
                <w:color w:val="auto"/>
              </w:rPr>
            </w:pPr>
          </w:p>
        </w:tc>
      </w:tr>
      <w:tr>
        <w:trPr>
          <w:trHeight w:val="238"/>
        </w:trPr>
        <w:tc>
          <w:tcPr>
            <w:tcW w:w="3000" w:type="dxa"/>
            <w:vAlign w:val="bottom"/>
          </w:tcPr>
          <w:p>
            <w:pPr>
              <w:spacing w:after="0"/>
              <w:rPr>
                <w:sz w:val="20"/>
                <w:szCs w:val="20"/>
                <w:color w:val="auto"/>
              </w:rPr>
            </w:pPr>
          </w:p>
        </w:tc>
        <w:tc>
          <w:tcPr>
            <w:tcW w:w="4880" w:type="dxa"/>
            <w:vAlign w:val="bottom"/>
            <w:gridSpan w:val="5"/>
          </w:tcPr>
          <w:p>
            <w:pPr>
              <w:jc w:val="center"/>
              <w:ind w:right="3220"/>
              <w:spacing w:after="0"/>
              <w:rPr>
                <w:sz w:val="20"/>
                <w:szCs w:val="20"/>
                <w:color w:val="auto"/>
              </w:rPr>
            </w:pPr>
            <w:r>
              <w:rPr>
                <w:rFonts w:ascii="Times New Roman" w:cs="Times New Roman" w:eastAsia="Times New Roman" w:hAnsi="Times New Roman"/>
                <w:sz w:val="18"/>
                <w:szCs w:val="18"/>
                <w:b w:val="1"/>
                <w:bCs w:val="1"/>
                <w:color w:val="auto"/>
                <w:w w:val="98"/>
              </w:rPr>
              <w:t>Fort Worth, Texas</w:t>
            </w:r>
          </w:p>
        </w:tc>
        <w:tc>
          <w:tcPr>
            <w:tcW w:w="3360" w:type="dxa"/>
            <w:vAlign w:val="bottom"/>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rPr>
              <w:t>76109</w:t>
            </w:r>
          </w:p>
        </w:tc>
      </w:tr>
      <w:tr>
        <w:trPr>
          <w:trHeight w:val="232"/>
        </w:trPr>
        <w:tc>
          <w:tcPr>
            <w:tcW w:w="764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40" w:type="dxa"/>
            <w:vAlign w:val="bottom"/>
          </w:tcPr>
          <w:p>
            <w:pPr>
              <w:spacing w:after="0"/>
              <w:rPr>
                <w:sz w:val="20"/>
                <w:szCs w:val="20"/>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387"/>
        </w:trPr>
        <w:tc>
          <w:tcPr>
            <w:tcW w:w="3000" w:type="dxa"/>
            <w:vAlign w:val="bottom"/>
          </w:tcPr>
          <w:p>
            <w:pPr>
              <w:spacing w:after="0"/>
              <w:rPr>
                <w:sz w:val="24"/>
                <w:szCs w:val="24"/>
                <w:color w:val="auto"/>
              </w:rPr>
            </w:pPr>
          </w:p>
        </w:tc>
        <w:tc>
          <w:tcPr>
            <w:tcW w:w="44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(737) 787-3798</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38"/>
        </w:trPr>
        <w:tc>
          <w:tcPr>
            <w:tcW w:w="3000" w:type="dxa"/>
            <w:vAlign w:val="bottom"/>
          </w:tcPr>
          <w:p>
            <w:pPr>
              <w:spacing w:after="0"/>
              <w:rPr>
                <w:sz w:val="20"/>
                <w:szCs w:val="20"/>
                <w:color w:val="auto"/>
              </w:rPr>
            </w:pPr>
          </w:p>
        </w:tc>
        <w:tc>
          <w:tcPr>
            <w:tcW w:w="4880" w:type="dxa"/>
            <w:vAlign w:val="bottom"/>
            <w:gridSpan w:val="5"/>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8"/>
              </w:rPr>
              <w:t>(Registrant’s Telephone Number, Including Area Code)</w:t>
            </w:r>
          </w:p>
        </w:tc>
        <w:tc>
          <w:tcPr>
            <w:tcW w:w="33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20" w:type="dxa"/>
            <w:vAlign w:val="bottom"/>
          </w:tcPr>
          <w:p>
            <w:pPr>
              <w:spacing w:after="0"/>
              <w:rPr>
                <w:sz w:val="20"/>
                <w:szCs w:val="20"/>
                <w:color w:val="auto"/>
              </w:rPr>
            </w:pP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0"/>
        </w:trPr>
        <w:tc>
          <w:tcPr>
            <w:tcW w:w="4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4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SEGG</w:t>
            </w:r>
          </w:p>
        </w:tc>
        <w:tc>
          <w:tcPr>
            <w:tcW w:w="220" w:type="dxa"/>
            <w:vAlign w:val="bottom"/>
            <w:shd w:val="clear" w:color="auto" w:fill="CCEEFF"/>
          </w:tcPr>
          <w:p>
            <w:pPr>
              <w:spacing w:after="0"/>
              <w:rPr>
                <w:sz w:val="18"/>
                <w:szCs w:val="18"/>
                <w:color w:val="auto"/>
              </w:rPr>
            </w:pPr>
          </w:p>
        </w:tc>
        <w:tc>
          <w:tcPr>
            <w:tcW w:w="4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42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Warrants to purchase one share of common stock, each at</w:t>
            </w:r>
          </w:p>
        </w:tc>
        <w:tc>
          <w:tcPr>
            <w:tcW w:w="240" w:type="dxa"/>
            <w:vAlign w:val="bottom"/>
          </w:tcPr>
          <w:p>
            <w:pPr>
              <w:spacing w:after="0"/>
              <w:rPr>
                <w:sz w:val="17"/>
                <w:szCs w:val="17"/>
                <w:color w:val="auto"/>
              </w:rPr>
            </w:pPr>
          </w:p>
        </w:tc>
        <w:tc>
          <w:tcPr>
            <w:tcW w:w="2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3"/>
              </w:rPr>
              <w:t>LTRYW</w:t>
            </w:r>
          </w:p>
        </w:tc>
        <w:tc>
          <w:tcPr>
            <w:tcW w:w="220" w:type="dxa"/>
            <w:vAlign w:val="bottom"/>
          </w:tcPr>
          <w:p>
            <w:pPr>
              <w:spacing w:after="0"/>
              <w:rPr>
                <w:sz w:val="17"/>
                <w:szCs w:val="17"/>
                <w:color w:val="auto"/>
              </w:rPr>
            </w:pPr>
          </w:p>
        </w:tc>
        <w:tc>
          <w:tcPr>
            <w:tcW w:w="42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 exercise price of $2,300.00</w:t>
            </w:r>
          </w:p>
        </w:tc>
        <w:tc>
          <w:tcPr>
            <w:tcW w:w="2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 (a)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26, 2026 (the “Closing Date”), Sports Entertainment Gaming Global Corporation (the “Company”) entered into a Securities Purchase Agreement (the “Purchase Agreement”) with Amorua Global, Inc. (“Amorua” or the “Investor”), pursuant to which the Company issued to the Investor an unsecured convertible promissory note (the “Note”) in an original principal amount of $3,500,000.</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Note bears interest at a rate of 12% per annum and matures 24 months from the Closing Date, unless earlier converted, repaid or otherwise terminated in accordance with its terms. The Note was issued with an original issue discount of 15%.</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of the Note, amounts outstanding under the Note, including accrued interest, may be converted into shares of the Company’s common stock at a conversion price equal to the lower of (i) the closing price of the Company’s common stock on the issuance date and (ii) 95% of the lowest daily VWAP of the Company’s common stock during the five business days immediately preceding the applicable conversion notice, in each case subject to adjustment pursuant to the terms of the Note. The Investor’s conversion rights are subject to a 9.99% beneficial ownership limitation.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Purchase Agreement, the Company agreed to file, within 45 days following execution of the definitive transaction documents, a registration statement on Form S-1 registering for resale the shares of common stock issuable upon conversion of the Note.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intends to use the net proceeds from the financing for general corporate purposes, including approximately $500,000 to repay indebtedness owed under the Alumni Capital note.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descriptions of the Purchase Agreement and the Note do not purport to be complete and are qualified in their entirety by reference to the full text of such agreements, which the Company intends to file with its next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Item 1.01 of this Current Report on Form 8-K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Item 1.01 of this Current Report on Form 8-K is incorporated herein by reference.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26, 2026, the Company issued the Note to Amorua Global, Inc. pursuant to the Purchase Agreement described above. The issuance of the Note, and the shares of common stock issuable upon conversion thereof, were made in reliance upon the exemption from registration provided by Section 4(a)(2) of the Securities Act of 1933, as amended, and/or Rule 506 of Regulation D promulgated thereunder. The Investor represented that it was acquiring the securities for investment purposes and not with a view to or for distribution thereof. The securities have not been registered under the Securities Act or applicable state securities laws. Pursuant to the Purchase Agreement, the Company agreed to file a registration statement on Form S-1 covering the resale of the shares of common stock issuable upon conversion of the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Sports Entertainment Gaming Global Corporation</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Robert J. Stubblefield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Robert Stubblefield</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Interim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2026-06-03T16:16:55Z</dcterms:created>
  <dcterms:modified xsi:type="dcterms:W3CDTF">2026-06-03T16:16:55Z</dcterms:modified>
</cp:coreProperties>
</file>