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nt10-k.htm"/>
      <w:bookmarkStart w:id="1" w:name="ksformnt10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12b-25</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NOTIFICATION OF LATE FILING</w:t>
      </w:r>
    </w:p>
    <w:p>
      <w:pPr>
        <w:pStyle w:val="TextBody"/>
        <w:bidi w:val="0"/>
        <w:spacing w:before="0" w:after="0"/>
        <w:jc w:val="center"/>
        <w:rPr>
          <w:caps w:val="false"/>
          <w:smallCaps w:val="false"/>
        </w:rPr>
      </w:pPr>
      <w:r>
        <w:rPr>
          <w:caps w:val="false"/>
          <w:smallCaps w:val="false"/>
        </w:rPr>
        <w:t> </w:t>
      </w:r>
    </w:p>
    <w:tbl>
      <w:tblPr>
        <w:tblW w:w="2705" w:type="dxa"/>
        <w:jc w:val="left"/>
        <w:tblInd w:w="0" w:type="dxa"/>
        <w:tblLayout w:type="fixed"/>
        <w:tblCellMar>
          <w:top w:w="0" w:type="dxa"/>
          <w:left w:w="0" w:type="dxa"/>
          <w:bottom w:w="0" w:type="dxa"/>
          <w:right w:w="0" w:type="dxa"/>
        </w:tblCellMar>
      </w:tblPr>
      <w:tblGrid>
        <w:gridCol w:w="75"/>
        <w:gridCol w:w="2630"/>
      </w:tblGrid>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SEC File Number: </w:t>
            </w:r>
            <w:r>
              <w:rPr>
                <w:rFonts w:ascii="Times New Roman;Times;Serif" w:hAnsi="Times New Roman;Times;Serif"/>
                <w:b/>
                <w:sz w:val="20"/>
                <w:u w:val="single"/>
              </w:rPr>
              <w:t>001-38508</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 xml:space="preserve">CUSIP NUMBER: </w:t>
            </w:r>
            <w:r>
              <w:rPr>
                <w:rFonts w:ascii="Times New Roman;Times;Serif" w:hAnsi="Times New Roman;Times;Serif"/>
                <w:b/>
                <w:sz w:val="20"/>
                <w:u w:val="single"/>
              </w:rPr>
              <w:t>54570M306</w:t>
            </w:r>
          </w:p>
        </w:tc>
      </w:tr>
    </w:tbl>
    <w:p>
      <w:pPr>
        <w:pStyle w:val="TextBody"/>
        <w:bidi w:val="0"/>
        <w:spacing w:before="0" w:after="0"/>
        <w:ind w:left="0" w:right="0" w:hanging="0"/>
        <w:jc w:val="left"/>
        <w:rPr>
          <w:caps w:val="false"/>
          <w:smallCaps w:val="false"/>
        </w:rPr>
      </w:pPr>
      <w:r>
        <w:rPr>
          <w:caps w:val="false"/>
          <w:smallCaps w:val="false"/>
        </w:rPr>
        <w:t> </w:t>
      </w:r>
    </w:p>
    <w:tbl>
      <w:tblPr>
        <w:tblW w:w="9430" w:type="dxa"/>
        <w:jc w:val="left"/>
        <w:tblInd w:w="0" w:type="dxa"/>
        <w:tblLayout w:type="fixed"/>
        <w:tblCellMar>
          <w:top w:w="0" w:type="dxa"/>
          <w:left w:w="0" w:type="dxa"/>
          <w:bottom w:w="0" w:type="dxa"/>
          <w:right w:w="0" w:type="dxa"/>
        </w:tblCellMar>
      </w:tblPr>
      <w:tblGrid>
        <w:gridCol w:w="1100"/>
        <w:gridCol w:w="8330"/>
      </w:tblGrid>
      <w:tr>
        <w:trPr/>
        <w:tc>
          <w:tcPr>
            <w:tcW w:w="110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(Check One):</w:t>
            </w:r>
          </w:p>
        </w:tc>
        <w:tc>
          <w:tcPr>
            <w:tcW w:w="8330" w:type="dxa"/>
            <w:tcBorders/>
            <w:vAlign w:val="center"/>
          </w:tcPr>
          <w:p>
            <w:pPr>
              <w:pStyle w:val="TableContents"/>
              <w:bidi w:val="0"/>
              <w:spacing w:before="0" w:after="283"/>
              <w:jc w:val="left"/>
              <w:rPr/>
            </w:pPr>
            <w:r>
              <w:rPr/>
              <w:t xml:space="preserve">☒ </w:t>
            </w:r>
            <w:r>
              <w:rPr>
                <w:rFonts w:ascii="Times New Roman;Times;Serif" w:hAnsi="Times New Roman;Times;Serif"/>
                <w:sz w:val="20"/>
              </w:rPr>
              <w:t>Form 10-K ☐ Form 20-F ☐ Form 11-K ☐ Form 10-Q ☐ Form 10-D ☐ Form N-CEN ☐ Form N-CSR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i w:val="false"/>
          <w:caps w:val="false"/>
          <w:smallCaps w:val="false"/>
          <w:sz w:val="20"/>
          <w:u w:val="single"/>
        </w:rPr>
        <w:t>December 31, 2025</w:t>
      </w:r>
    </w:p>
    <w:p>
      <w:pPr>
        <w:pStyle w:val="TextBody"/>
        <w:bidi w:val="0"/>
        <w:spacing w:before="0" w:after="0"/>
        <w:ind w:left="0" w:right="0" w:firstLine="720"/>
        <w:jc w:val="both"/>
        <w:rPr>
          <w:caps w:val="false"/>
          <w:smallCaps w:val="false"/>
        </w:rPr>
      </w:pPr>
      <w:r>
        <w:rPr>
          <w:caps w:val="false"/>
          <w:smallCaps w:val="false"/>
        </w:rPr>
        <w:t> </w:t>
      </w:r>
    </w:p>
    <w:tbl>
      <w:tblPr>
        <w:tblW w:w="2913" w:type="dxa"/>
        <w:jc w:val="left"/>
        <w:tblInd w:w="0" w:type="dxa"/>
        <w:tblLayout w:type="fixed"/>
        <w:tblCellMar>
          <w:top w:w="0" w:type="dxa"/>
          <w:left w:w="0" w:type="dxa"/>
          <w:bottom w:w="0" w:type="dxa"/>
          <w:right w:w="0" w:type="dxa"/>
        </w:tblCellMar>
      </w:tblPr>
      <w:tblGrid>
        <w:gridCol w:w="38"/>
        <w:gridCol w:w="23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10-K</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20-F</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11-K</w:t>
            </w:r>
          </w:p>
        </w:tc>
      </w:tr>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6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Transition Report on Form 10-Q</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 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form shall be construed to imply that the Commission has verified any information contained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notification relates to a portion of the filing checked above, identify the item(s) to which the notification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5049 Edwards Ranch Rd, 4</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w:t>
      </w:r>
      <w:r>
        <w:rPr>
          <w:rFonts w:ascii="Times New Roman;Times;Serif" w:hAnsi="Times New Roman;Times;Serif"/>
          <w:b w:val="false"/>
          <w:i/>
          <w:caps w:val="false"/>
          <w:smallCaps w:val="false"/>
          <w:sz w:val="20"/>
        </w:rPr>
        <w:t>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Fort Worth, Texas 76109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City, State and Zip Code</w:t>
      </w:r>
    </w:p>
    <w:p>
      <w:pPr>
        <w:pStyle w:val="TextBody"/>
        <w:bidi w:val="0"/>
        <w:spacing w:before="0" w:after="0"/>
        <w:ind w:left="20" w:right="0" w:hanging="0"/>
        <w:jc w:val="left"/>
        <w:rPr>
          <w:caps w:val="false"/>
          <w:smallCaps w:val="false"/>
        </w:rPr>
      </w:pPr>
      <w:r>
        <w:rPr>
          <w:caps w:val="false"/>
          <w:smallCaps w:val="false"/>
        </w:rPr>
        <w:t> </w:t>
      </w:r>
    </w:p>
    <w:p>
      <w:pPr>
        <w:pStyle w:val="TextBody"/>
        <w:bidi w:val="0"/>
        <w:ind w:left="20" w:right="0" w:hanging="0"/>
        <w:jc w:val="left"/>
        <w:rPr>
          <w:bdr w:val="single" w:sz="8" w:space="1" w:color="000000"/>
        </w:rPr>
      </w:pPr>
      <w:r>
        <w:rPr>
          <w:bdr w:val="single" w:sz="8" w:space="1" w:color="000000"/>
        </w:rPr>
        <w:t> </w:t>
      </w:r>
    </w:p>
    <w:p>
      <w:pPr>
        <w:pStyle w:val="TextBody"/>
        <w:bidi w:val="0"/>
        <w:spacing w:before="0" w:after="0"/>
        <w:ind w:left="2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 — RULES 12b-25(b) AND (c)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subject report could not be filed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28" w:type="dxa"/>
        </w:tblCellMar>
      </w:tblPr>
      <w:tblGrid>
        <w:gridCol w:w="75"/>
        <w:gridCol w:w="199"/>
        <w:gridCol w:w="244"/>
        <w:gridCol w:w="9687"/>
      </w:tblGrid>
      <w:tr>
        <w:trPr/>
        <w:tc>
          <w:tcPr>
            <w:tcW w:w="75" w:type="dxa"/>
            <w:tcBorders>
              <w:right w:val="single" w:sz="8" w:space="0" w:color="000000"/>
            </w:tcBorders>
            <w:vAlign w:val="center"/>
          </w:tcPr>
          <w:p>
            <w:pPr>
              <w:pStyle w:val="TableContents"/>
              <w:bidi w:val="0"/>
              <w:spacing w:before="0" w:after="283"/>
              <w:jc w:val="left"/>
              <w:rPr>
                <w:sz w:val="4"/>
                <w:szCs w:val="4"/>
              </w:rPr>
            </w:pPr>
            <w:r>
              <w:rPr>
                <w:sz w:val="4"/>
                <w:szCs w:val="4"/>
              </w:rPr>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244" w:type="dxa"/>
            <w:tcBorders/>
            <w:tcMar>
              <w:right w:w="0" w:type="dxa"/>
            </w:tcMar>
            <w:vAlign w:val="center"/>
          </w:tcPr>
          <w:p>
            <w:pPr>
              <w:pStyle w:val="TableContents"/>
              <w:bidi w:val="0"/>
              <w:spacing w:before="0" w:after="283"/>
              <w:jc w:val="center"/>
              <w:rPr/>
            </w:pPr>
            <w:r>
              <w:rPr/>
              <w:t xml:space="preserve">☒ </w:t>
            </w:r>
          </w:p>
        </w:tc>
        <w:tc>
          <w:tcPr>
            <w:tcW w:w="9687"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reason described in reasonable detail in Part III of this form could not be eliminated without unreasonable effort or expense;</w:t>
            </w:r>
          </w:p>
        </w:tc>
      </w:tr>
      <w:tr>
        <w:trPr/>
        <w:tc>
          <w:tcPr>
            <w:tcW w:w="75" w:type="dxa"/>
            <w:tcBorders>
              <w:right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244" w:type="dxa"/>
            <w:tcBorders/>
            <w:tcMar>
              <w:right w:w="0" w:type="dxa"/>
            </w:tcMar>
            <w:vAlign w:val="center"/>
          </w:tcPr>
          <w:p>
            <w:pPr>
              <w:pStyle w:val="TableContents"/>
              <w:bidi w:val="0"/>
              <w:spacing w:before="0" w:after="283"/>
              <w:jc w:val="center"/>
              <w:rPr/>
            </w:pPr>
            <w:r>
              <w:rPr/>
              <w:t> </w:t>
            </w:r>
          </w:p>
        </w:tc>
        <w:tc>
          <w:tcPr>
            <w:tcW w:w="9687"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right w:val="single" w:sz="8" w:space="0" w:color="000000"/>
            </w:tcBorders>
            <w:vAlign w:val="center"/>
          </w:tcPr>
          <w:p>
            <w:pPr>
              <w:pStyle w:val="TableContents"/>
              <w:bidi w:val="0"/>
              <w:spacing w:before="0" w:after="283"/>
              <w:jc w:val="left"/>
              <w:rPr>
                <w:sz w:val="4"/>
                <w:szCs w:val="4"/>
              </w:rPr>
            </w:pPr>
            <w:r>
              <w:rPr>
                <w:sz w:val="4"/>
                <w:szCs w:val="4"/>
              </w:rPr>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244" w:type="dxa"/>
            <w:tcBorders/>
            <w:tcMar>
              <w:right w:w="0" w:type="dxa"/>
            </w:tcMar>
            <w:vAlign w:val="center"/>
          </w:tcPr>
          <w:p>
            <w:pPr>
              <w:pStyle w:val="TableContents"/>
              <w:bidi w:val="0"/>
              <w:spacing w:before="0" w:after="283"/>
              <w:jc w:val="center"/>
              <w:rPr/>
            </w:pPr>
            <w:r>
              <w:rPr/>
              <w:t xml:space="preserve">☒ </w:t>
            </w:r>
          </w:p>
        </w:tc>
        <w:tc>
          <w:tcPr>
            <w:tcW w:w="9687" w:type="dxa"/>
            <w:tcBorders/>
            <w:tcMar>
              <w:right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tc>
      </w:tr>
      <w:tr>
        <w:trPr/>
        <w:tc>
          <w:tcPr>
            <w:tcW w:w="75" w:type="dxa"/>
            <w:tcBorders>
              <w:right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199" w:type="dxa"/>
            <w:tcBorders/>
            <w:tcMar>
              <w:right w:w="0" w:type="dxa"/>
            </w:tcMar>
            <w:vAlign w:val="center"/>
          </w:tcPr>
          <w:p>
            <w:pPr>
              <w:pStyle w:val="TableContents"/>
              <w:bidi w:val="0"/>
              <w:spacing w:before="0" w:after="283"/>
              <w:jc w:val="center"/>
              <w:rPr>
                <w:caps w:val="false"/>
                <w:smallCaps w:val="false"/>
              </w:rPr>
            </w:pPr>
            <w:r>
              <w:rPr>
                <w:caps w:val="false"/>
                <w:smallCaps w:val="false"/>
              </w:rPr>
              <w:t> </w:t>
            </w:r>
          </w:p>
        </w:tc>
        <w:tc>
          <w:tcPr>
            <w:tcW w:w="244" w:type="dxa"/>
            <w:tcBorders/>
            <w:tcMar>
              <w:right w:w="0" w:type="dxa"/>
            </w:tcMar>
            <w:vAlign w:val="center"/>
          </w:tcPr>
          <w:p>
            <w:pPr>
              <w:pStyle w:val="TableContents"/>
              <w:bidi w:val="0"/>
              <w:spacing w:before="0" w:after="283"/>
              <w:jc w:val="center"/>
              <w:rPr/>
            </w:pPr>
            <w:r>
              <w:rPr/>
              <w:t> </w:t>
            </w:r>
          </w:p>
        </w:tc>
        <w:tc>
          <w:tcPr>
            <w:tcW w:w="9687" w:type="dxa"/>
            <w:tcBorders/>
            <w:tcMar>
              <w:right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right w:val="single" w:sz="8" w:space="0" w:color="000000"/>
            </w:tcBorders>
            <w:vAlign w:val="center"/>
          </w:tcPr>
          <w:p>
            <w:pPr>
              <w:pStyle w:val="TableContents"/>
              <w:bidi w:val="0"/>
              <w:spacing w:before="0" w:after="283"/>
              <w:jc w:val="left"/>
              <w:rPr>
                <w:sz w:val="4"/>
                <w:szCs w:val="4"/>
              </w:rPr>
            </w:pPr>
            <w:r>
              <w:rPr>
                <w:sz w:val="4"/>
                <w:szCs w:val="4"/>
              </w:rPr>
            </w:r>
          </w:p>
        </w:tc>
        <w:tc>
          <w:tcPr>
            <w:tcW w:w="199" w:type="dxa"/>
            <w:tcBorders/>
            <w:tcMar>
              <w:right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244" w:type="dxa"/>
            <w:tcBorders/>
            <w:tcMar>
              <w:right w:w="0" w:type="dxa"/>
            </w:tcMar>
            <w:vAlign w:val="center"/>
          </w:tcPr>
          <w:p>
            <w:pPr>
              <w:pStyle w:val="TableContents"/>
              <w:bidi w:val="0"/>
              <w:spacing w:before="0" w:after="283"/>
              <w:jc w:val="center"/>
              <w:rPr/>
            </w:pPr>
            <w:r>
              <w:rPr/>
              <w:t> </w:t>
            </w:r>
          </w:p>
        </w:tc>
        <w:tc>
          <w:tcPr>
            <w:tcW w:w="9687" w:type="dxa"/>
            <w:tcBorders/>
            <w:tcMar>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III— NARRATIVE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below in reasonable detail why Forms 10-K, 20-F, 11-K, 10-Q, 10-D, N-CEN, N-CSR or the transition report portion thereof, could not be filed within the prescribed time period.</w:t>
      </w:r>
    </w:p>
    <w:p>
      <w:pPr>
        <w:pStyle w:val="TextBody"/>
        <w:bidi w:val="0"/>
        <w:spacing w:before="0" w:after="0"/>
        <w:ind w:left="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Sports Entertainment Gaming Global Corporation (the “Company”) is unable to file its Annual Report on Form 10-K for the fiscal year ended December 31, 2025 within the prescribed time period without unreasonable effort and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working diligently to complete the Form 10-K and currently expects to file the Form 10-K within the fifteen-calendar-day extension period permitted under Rule 12b-25.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IV — OTHER INFORMATION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and telephone number of person to contact in regard to this notification: </w:t>
      </w:r>
    </w:p>
    <w:p>
      <w:pPr>
        <w:pStyle w:val="TextBody"/>
        <w:bidi w:val="0"/>
        <w:spacing w:before="0" w:after="283"/>
        <w:jc w:val="left"/>
        <w:rPr/>
      </w:pPr>
      <w:r>
        <w:rPr/>
        <w:t> </w:t>
      </w:r>
    </w:p>
    <w:tbl>
      <w:tblPr>
        <w:tblW w:w="4590" w:type="dxa"/>
        <w:jc w:val="left"/>
        <w:tblInd w:w="0" w:type="dxa"/>
        <w:tblLayout w:type="fixed"/>
        <w:tblCellMar>
          <w:top w:w="0" w:type="dxa"/>
          <w:left w:w="0" w:type="dxa"/>
          <w:bottom w:w="0" w:type="dxa"/>
          <w:right w:w="0" w:type="dxa"/>
        </w:tblCellMar>
      </w:tblPr>
      <w:tblGrid>
        <w:gridCol w:w="1805"/>
        <w:gridCol w:w="60"/>
        <w:gridCol w:w="950"/>
        <w:gridCol w:w="60"/>
        <w:gridCol w:w="1715"/>
      </w:tblGrid>
      <w:tr>
        <w:trPr/>
        <w:tc>
          <w:tcPr>
            <w:tcW w:w="180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823-3727</w:t>
            </w:r>
          </w:p>
        </w:tc>
      </w:tr>
      <w:tr>
        <w:trPr/>
        <w:tc>
          <w:tcPr>
            <w:tcW w:w="180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50"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(Area code)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715" w:type="dxa"/>
            <w:tcBorders>
              <w:top w:val="single" w:sz="8" w:space="0" w:color="000000"/>
            </w:tcBorders>
            <w:tcMar>
              <w:top w:w="28"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 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firstLine="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Is it anticipated that any significant change in results of operations from the corresponding period for the last fiscal year will be reflected by the earnings statements to be included in the subject report or portion thereof?</w:t>
      </w:r>
    </w:p>
    <w:p>
      <w:pPr>
        <w:pStyle w:val="TextBody"/>
        <w:bidi w:val="0"/>
        <w:spacing w:before="0" w:after="0"/>
        <w:ind w:left="20" w:right="0" w:hanging="0"/>
        <w:jc w:val="left"/>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Yes ☒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12b-25 includes “forward-looking statements” within the meaning of the Private Securities Litigation Reform Act of 1995, including the Company’s ability to file the December 31, 2025 Annual Report on Form 10-K during the extension period. Such forward-looking statements are based on assumptions about many important factors, which could cause actual results to differ materially from those in the forward-looking statements, including those risks identified in the Company’s most recent Form 10-K and Form 10-Q and other SEC filings. Unless otherwise required by applicable law, the Company assumes no obligation to update any forward-looking statements, and expressly disclaims any obligation to do so, whether as a result of new information, future events or otherwise.</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Sports Entertainment Gaming Global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has caused this notification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00" w:type="dxa"/>
        <w:jc w:val="left"/>
        <w:tblInd w:w="0" w:type="dxa"/>
        <w:tblLayout w:type="fixed"/>
        <w:tblCellMar>
          <w:top w:w="0" w:type="dxa"/>
          <w:left w:w="0" w:type="dxa"/>
          <w:bottom w:w="0" w:type="dxa"/>
          <w:right w:w="0" w:type="dxa"/>
        </w:tblCellMar>
      </w:tblPr>
      <w:tblGrid>
        <w:gridCol w:w="1595"/>
        <w:gridCol w:w="545"/>
        <w:gridCol w:w="2060"/>
      </w:tblGrid>
      <w:tr>
        <w:trPr/>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0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Robert J. Stubblefield</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J. Stubblefield</w:t>
            </w:r>
          </w:p>
        </w:tc>
      </w:tr>
      <w:tr>
        <w:trPr/>
        <w:tc>
          <w:tcPr>
            <w:tcW w:w="159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727</Words>
  <Characters>3897</Characters>
  <CharactersWithSpaces>4631</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