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16, 2022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Lottery.com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001-38508</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81-1996183</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20808 State Hwy 71 W, Unit B</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Spicewood, Texas</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78669</w:t>
            </w:r>
          </w:p>
        </w:tc>
      </w:tr>
      <w:tr>
        <w:trPr>
          <w:trHeight w:val="238"/>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 592-2451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LTRY</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to purchase one share of common stock,</w:t>
            </w:r>
          </w:p>
        </w:tc>
        <w:tc>
          <w:tcPr>
            <w:tcW w:w="22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3"/>
              </w:rPr>
              <w:t>LTRYW</w:t>
            </w:r>
          </w:p>
        </w:tc>
        <w:tc>
          <w:tcPr>
            <w:tcW w:w="2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 at an exercise price of $11.50</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16, 2022, Lottery.com Inc. (the “Company”) issued a press release announcing its financial results for the first quarter ended March 31, 2022. A copy of the press release is furnished as Exhibit 99.1 hereto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herewith pursuant to Item 2.02 of this Current Report, including Exhibit 99.1, shall not be deemed to be “filed” for the purposes of Section 18 of the Securities Exchange Act of 1934, as amended (the “Exchange Act”), or otherwise subject to the liabilities of that section. The information in this Current Report shall not be incorporated by reference into any filing under the Securities Act of 1933, as amended, or the Exchange Act, whether made before or after the date of this Current Report, regardless of any general incorporation language in the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7580" w:type="dxa"/>
            <w:vAlign w:val="bottom"/>
            <w:tcBorders>
              <w:top w:val="single" w:sz="8" w:color="auto"/>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May 16, 2022.</w:t>
            </w:r>
          </w:p>
        </w:tc>
        <w:tc>
          <w:tcPr>
            <w:tcW w:w="7580" w:type="dxa"/>
            <w:vAlign w:val="bottom"/>
            <w:tcBorders>
              <w:bottom w:val="single" w:sz="8" w:color="CCEEFF"/>
            </w:tcBorders>
            <w:shd w:val="clear" w:color="auto" w:fill="CCEEFF"/>
          </w:tcPr>
          <w:p>
            <w:pPr>
              <w:spacing w:after="0"/>
              <w:rPr>
                <w:sz w:val="17"/>
                <w:szCs w:val="17"/>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Embedded within the inline XBRL document</w:t>
            </w:r>
          </w:p>
        </w:tc>
      </w:tr>
      <w:tr>
        <w:trPr>
          <w:trHeight w:val="69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560"/>
              <w:spacing w:after="0"/>
              <w:rPr>
                <w:sz w:val="20"/>
                <w:szCs w:val="20"/>
                <w:color w:val="auto"/>
              </w:rPr>
            </w:pPr>
            <w:r>
              <w:rPr>
                <w:rFonts w:ascii="Times New Roman" w:cs="Times New Roman" w:eastAsia="Times New Roman" w:hAnsi="Times New Roman"/>
                <w:sz w:val="22"/>
                <w:szCs w:val="22"/>
                <w:color w:val="auto"/>
              </w:rPr>
              <w:t>1</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Lottery.com Inc.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Lever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Kathryn Lever</w:t>
      </w:r>
    </w:p>
    <w:p>
      <w:pPr>
        <w:spacing w:after="0" w:line="27" w:lineRule="exact"/>
        <w:rPr>
          <w:sz w:val="20"/>
          <w:szCs w:val="20"/>
          <w:color w:val="auto"/>
        </w:rPr>
      </w:pPr>
    </w:p>
    <w:p>
      <w:pPr>
        <w:jc w:val="center"/>
        <w:ind w:left="484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Operating Officer and</w:t>
      </w:r>
    </w:p>
    <w:p>
      <w:pPr>
        <w:spacing w:after="0" w:line="9"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Lottery.com Announces Strong First Quarter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quarter 2022 revenue of $21.2 million, up $15.7 million from the prior-year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quarter 2022 gross profit of $18.0 million, up $15.5 million from the prior-year period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quarter 2022 net loss of $15.8 million, Adjusted EBITDA of $7.7 million</w:t>
      </w:r>
      <w:r>
        <w:rPr>
          <w:rFonts w:ascii="Times New Roman" w:cs="Times New Roman" w:eastAsia="Times New Roman" w:hAnsi="Times New Roman"/>
          <w:sz w:val="29"/>
          <w:szCs w:val="29"/>
          <w:i w:val="1"/>
          <w:iCs w:val="1"/>
          <w:color w:val="auto"/>
          <w:vertAlign w:val="superscript"/>
        </w:rPr>
        <w:t>1</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AUSTIN, Texas, May 16, 2022 -- (GLOBE NEWSWIRE) -- Lottery.com Inc. (Nasdaq: LTRY, LTRYW) (“Lottery.com” or the “Company”), a leading technology company that is transforming how, where and when the lottery is played, reported financial results for the first quarter ended March 31,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Tony DiMatteo, Lottery.com Co-Founder and CEO, commented, “I’m pleased with our first quarter results and the team’s continued focus on our core business and generating strong Adjusted EBITDA. Once again, LotteryLink has demonstrated its ability to contribute to our top and bottom line growth and expand our user base with limited advertising spend. In our B2C business, our focus on market testing and securing permission to advertise on large digital media platforms has solidified our foundation to launch accretive user acquisition campaigns over the balance of the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DiMatteo continued, “So far in the second quarter, our B2C campaigns have been positive with solid increases in app downloads versus the prior year period while achieving relatively low customer acquisition costs. LotteryLink’s promotional programs have generated new users and created interest from additional national consumer brands looking to utilize LotteryLink for their marketing campaigns. Additionally, we have launched Phase 1 of Project Nexus. We believe that these positive developments, combined with our strong balance sheet, position us well for future growth.”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First Quarter 2022 Financial Highlights</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30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Q1 2022 Financial Highlights</w:t>
            </w:r>
          </w:p>
        </w:tc>
        <w:tc>
          <w:tcPr>
            <w:tcW w:w="4260" w:type="dxa"/>
            <w:vAlign w:val="bottom"/>
            <w:vMerge w:val="restart"/>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060" w:type="dxa"/>
            <w:vAlign w:val="bottom"/>
            <w:vMerge w:val="continue"/>
          </w:tcPr>
          <w:p>
            <w:pPr>
              <w:spacing w:after="0"/>
              <w:rPr>
                <w:sz w:val="21"/>
                <w:szCs w:val="21"/>
                <w:color w:val="auto"/>
              </w:rPr>
            </w:pPr>
          </w:p>
        </w:tc>
        <w:tc>
          <w:tcPr>
            <w:tcW w:w="4260" w:type="dxa"/>
            <w:vAlign w:val="bottom"/>
            <w:vMerge w:val="continue"/>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(15.8)</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50.8</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Adjusted EBITDA is a financial measure that is not calculated in accordance with Generally Accepted Accounting Principles in the United States (“GAAP”). See “Non-GAAP Financial Measures” below for a discussion of the definition of Adjusted EBITDA and “Reconciliation of Non-GAAP Financial Measures” for a reconciliation of this measure to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First quarter 2022 revenue </w:t>
      </w:r>
      <w:r>
        <w:rPr>
          <w:rFonts w:ascii="Times New Roman" w:cs="Times New Roman" w:eastAsia="Times New Roman" w:hAnsi="Times New Roman"/>
          <w:sz w:val="18"/>
          <w:szCs w:val="18"/>
          <w:color w:val="auto"/>
        </w:rPr>
        <w:t>was $21.2 million, an increase of $15.7 million, or 287%, from the first quarter of 2021. The growth was primarily driven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of LotteryLink credits to a LotteryLink affiliate, primarily to acquire pre-paid promotional rewards that may be issued by such affiliate to consumers for their purchase of lottery games and services from Lottery.com upon activation of an account.</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First quarter 2022 gross profit </w:t>
      </w:r>
      <w:r>
        <w:rPr>
          <w:rFonts w:ascii="Times New Roman" w:cs="Times New Roman" w:eastAsia="Times New Roman" w:hAnsi="Times New Roman"/>
          <w:sz w:val="18"/>
          <w:szCs w:val="18"/>
          <w:color w:val="auto"/>
        </w:rPr>
        <w:t>was $18.0 million, an increase of $15.5 million from the first quarter of 2021. The increase was primarily driven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LotteryLink credits to the above referenced LotteryLink affiliate. As a result of the delayed launch of such affiliate’s promotional program, most of the pre-paid promotional rewards expired without being issued to consumers. As a result, the Company did not incur costs associated with redemption of most of such LotteryLink credits.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First quarter 2022 net loss </w:t>
      </w:r>
      <w:r>
        <w:rPr>
          <w:rFonts w:ascii="Times New Roman" w:cs="Times New Roman" w:eastAsia="Times New Roman" w:hAnsi="Times New Roman"/>
          <w:sz w:val="18"/>
          <w:szCs w:val="18"/>
          <w:color w:val="auto"/>
        </w:rPr>
        <w:t>was $15.8 million compared to a net loss of $5.5 million in the first quarter of 2021. The increase was primarily driven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incurrence of $22.2 million of non-cash stock compensation expense and other increased personnel costs, which were offset by the strong gross profit described above.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quarter 2022 Adjusted EBITDA </w:t>
      </w:r>
      <w:r>
        <w:rPr>
          <w:rFonts w:ascii="Times New Roman" w:cs="Times New Roman" w:eastAsia="Times New Roman" w:hAnsi="Times New Roman"/>
          <w:sz w:val="18"/>
          <w:szCs w:val="18"/>
          <w:color w:val="auto"/>
        </w:rPr>
        <w:t>was $7.7 million, an increase of $10.3 million from the first quarter of 2021. The increase was driven by the strong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profit described above, partially offset by increased public company expenses and higher expenses associated with the execution of growth initiatives.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as of March 31, 2022, was $50.8 million, an increase of $32.5 million from March 31, 2021, driven primarily by proceeds from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with Trident Acquisition Corp. in October 2021, and strong operating results, partially offset by an increase in working capital.</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color w:val="auto"/>
        </w:rPr>
        <w:t>as of March 31, 2022, was $3.5 million, a decrease of $38.0 million from March 31, 2021, driven primarily by the conversion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into equity, in conjunction with the business combination.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 on Key Initiatives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B2C User Growth</w:t>
      </w:r>
    </w:p>
    <w:p>
      <w:pPr>
        <w:spacing w:after="0" w:line="31"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B2C marketing campaigns have launched in Q2 2022 and resulted in solid increases in app downloads versus the prior year period</w:t>
      </w: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customer acquisition costs in-line with expectations to date in Q2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LotteryLink and B2B</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new LotteryLink affiliates since the beginning of the year, including the conversion of data service customers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develop pipeline of new LotteryLink master affiliates and their sub-affiliates, including national consumer brands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 Nexus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Phase 1 in Q2 2022, which is expected to improve scalability, security and ability to implement product improvements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Markets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on track for approval to enter into five new domestic jurisdictions by the end of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 Participation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from the Company plan to attend the following upcoming investor conferences: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Riley FBR 22nd Annual Institutional Investor Conference on May 26, 2022, in Beverly Hills, CA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Cowen’s 50th Annual Technology, Media &amp; Telecom Conference on June 1, 2022, in New York City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morning at 8:30 AM ET, the Company will host a conference call to discuss its first quarter 2022 results. A live webcast of the conference call will be available on the Investor Relations section of the Lottery.com website at https://ir.lottery.com. For those who cannot listen to the live webcast, a replay of the conference call will be available on the Lottery.com Investor Relations website.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join by telephone, please dial 877-313-2495 or 929-517-0906 if calling from outside the U.S. The conference code is 9189693. Please dial in a minimum of 15 minutes prior to the start time to ensure a timely connection to the call. An operator will register your name and organization.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Lottery.com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Lottery.com is a leading technology company that is transforming how, where and when lottery is played. Its engaging mobile and online platforms enable players located in the United States and internationally to remotely purchase legally sanctioned lottery games. Fans and subscribers look to Lottery.com for compelling, real-time results on more than 800 lottery games from more than 40 countries. Additionally, commercial partners and affiliates can utilize LotteryLink to provide Lottery.com products to their customers. Through WinTogether.org, Lottery.com is fundamentally changing how non-profit donors are incentivized to action by gamifying charitable giving. In all that it does, Lottery.com’s mission remains the same: an uncompromising passion to innovate, grow a new demographic of enthusiasts, deliver responsible and trusted solutions, and promote community and philanthropic initiatives. For more information, visit http://www.lottery.com.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includes EBITDA and Adjusted EBITDA, which are non-GAAP performance measures that we use to supplement our results presented in accordance with U.S. GAAP. We believe EBITDA and Adjusted EBITDA are useful in evaluating our operating performance, similar to measures reported by our peers, and regularly used by analysts, investors and other interested parties in analyzing operating performance and prospects. EBITDA and Adjusted EBITDA are not intended to be substitutes for any U.S. GAAP financial measure and, as calculated, may not be comparable to other similarly titled measures of performance of other companies in other industries or within the same industry.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define and calculate EBITDA as net income or loss before the impact of interest income or expense, income tax expense or benefit, depreciation and amortization, and Adjusted EBITDA as EBITDA, as further adjusted for stock-based compensation and certain other non-recurring, non-cash or non-core items.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include these non-GAAP financial measures because they are used by management to evaluate our core operating performance and trends and to make strategic decisions regarding the allocation of capital and new investments. The financial statement tables that accompany this press release include a reconciliation of EBITDA and Adjusted EBITDA to their most comparable U.S. GAAP financial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as amended (the “Securities Act”), and Section 21E of the Securities Exchange Act of 1934, as amended (the “Exchange Act”). All statements, other than statements of present or historical fact included in this press release, regarding Lottery.com’s strategy, future operations, prospects, plans and objectives of management, are forward-looking statements. When used in this press release,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Lottery.com disclaims any duty to update any forward-looking statements, all of which are expressly qualified by the statements in this section, to reflect events or circumstances after the date of this press release. Lottery.com cautions you that these forward-looking statements are subject to numerous risks and uncertainties, most of which are difficult to predict and many of which are beyond the control of Lottery.com. In addition, Lottery.com cautions you that the forward-looking statements contained in this press release are subject to the following risks and uncertainties: our inability to compete with other forms of entertainment for consumers’ discretionary time and income; economic downturns, inflation, geopolitical and political and market conditions beyond our control; negative events or media coverage relating to the lottery, lottery games or online gaming or betting; our inability to attract and retain users, including as a result of failing to appear in Internet search engine results; our continued ability to use domain names to promote and increase the value of our brand; adverse impacts relating to the spread of, and governmental responses taken with respect to, health epidemics such as the COVID-19; scrutiny by stakeholders with respect to responsible gaming and ethical conduct; our ability to achieve profitability and growth in the newly-developed market for online lottery games; our inability to profitably expand into new markets or capitalize on new gaming and lottery industry trends and changes, such as by developing successful new product offerings; the effectiveness of our marketing efforts in developing and maintaining our brand and reputation; failure to offer high-quality user support; adverse impacts to user relationships resulting from disruptions to our information technology; the vulnerability of our information systems to cyberattacks and disruptions caused with respect thereto, including an inability to securely maintain personal and other proprietary user information; our inability to adapt to changes or updates in the Internet, mobile or personal devices, or new technology platforms or network infrastructures; the exposure of our online infrastructure to risks relating to new and untested distributed ledger technology; our inability to comply with complex, ever-changing and multi-jurisdictional regulatory regimes and other legal requirements applicable to the gaming and lottery industries; geopolitical shifts and changes in applicable laws or regulations or the manner in which they are interpreted; our inability to successfully expand geographically and acquire and integrate new operations; our dependence on third-party service providers to timely perform services or software component products for our gaming platforms, product offerings and the processing of user payments and withdrawals; our inability to maintain successful relationships and/or agreements with lottery organizations and other third-party marketing or service provider affiliates; failure of third-party service providers to protect, enforce, or defend intellectual property rights required to fulfill contractual obligations required for the operation of our business; the effectiveness of our transition and compliance with the regulatory and other requirements of being a public company; operational risks including those arising from factors impacting the international supply chain; limited liquidity and trading of our securities; and those additional risks and uncertainties discussed under the heading “Risk Factors” in the Form 10-K filed by Lottery.com with the SEC on April 1, 2022, and the other documents filed, or to be filed, by Lottery.com with the SEC. Should one or more of the risks or uncertainties described in this press release materialize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reports that Lottery.com has filed and will file from time to time with the SEC. These SEC filings are available publicly on the SEC’s website at www.sec.gov.</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Lottery.com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21,150,892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5,461,539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3,165,469</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2,946,981</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17,985,423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2,514,558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costs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25,975,863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1,095,793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3,055,039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2,415,198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3,399,896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1,388,574</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1,373,925</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367,259</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33,804,723</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5,266,824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(15,819,300)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(2,752,266)</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before income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2,472,048</w:t>
            </w:r>
          </w:p>
        </w:tc>
        <w:tc>
          <w:tcPr>
            <w:tcW w:w="40" w:type="dxa"/>
            <w:vAlign w:val="bottom"/>
          </w:tcPr>
          <w:p>
            <w:pPr>
              <w:spacing w:after="0"/>
              <w:rPr>
                <w:sz w:val="18"/>
                <w:szCs w:val="18"/>
                <w:color w:val="auto"/>
              </w:rPr>
            </w:pPr>
          </w:p>
        </w:tc>
      </w:tr>
      <w:tr>
        <w:trPr>
          <w:trHeight w:val="255"/>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231,720</w:t>
            </w:r>
          </w:p>
        </w:tc>
        <w:tc>
          <w:tcPr>
            <w:tcW w:w="40" w:type="dxa"/>
            <w:vAlign w:val="bottom"/>
          </w:tcPr>
          <w:p>
            <w:pPr>
              <w:spacing w:after="0"/>
              <w:rPr>
                <w:sz w:val="22"/>
                <w:szCs w:val="22"/>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2,703,768</w:t>
            </w:r>
          </w:p>
        </w:tc>
        <w:tc>
          <w:tcPr>
            <w:tcW w:w="40" w:type="dxa"/>
            <w:vAlign w:val="bottom"/>
          </w:tcPr>
          <w:p>
            <w:pPr>
              <w:spacing w:after="0"/>
              <w:rPr>
                <w:sz w:val="19"/>
                <w:szCs w:val="19"/>
                <w:color w:val="auto"/>
              </w:rPr>
            </w:pPr>
          </w:p>
        </w:tc>
      </w:tr>
      <w:tr>
        <w:trPr>
          <w:trHeight w:val="427"/>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(15,815,911)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(5,456,034)</w:t>
            </w:r>
          </w:p>
        </w:tc>
      </w:tr>
      <w:tr>
        <w:trPr>
          <w:trHeight w:val="241"/>
        </w:trPr>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(15,815,911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(5,456,034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-1182370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-908050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-599440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-316865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-8255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49" w:lineRule="exact"/>
        <w:rPr>
          <w:sz w:val="20"/>
          <w:szCs w:val="20"/>
          <w:color w:val="auto"/>
        </w:rPr>
      </w:pPr>
    </w:p>
    <w:p>
      <w:pPr>
        <w:sectPr>
          <w:pgSz w:w="11900" w:h="16838" w:orient="portrait"/>
          <w:cols w:equalWidth="0" w:num="2">
            <w:col w:w="7960" w:space="720"/>
            <w:col w:w="256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w:t>
            </w:r>
          </w:p>
        </w:tc>
        <w:tc>
          <w:tcPr>
            <w:tcW w:w="4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4580" w:type="dxa"/>
            <w:vAlign w:val="bottom"/>
            <w:tcBorders>
              <w:top w:val="single" w:sz="8" w:color="CCEEFF"/>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4100" w:type="dxa"/>
            <w:vAlign w:val="bottom"/>
            <w:tcBorders>
              <w:top w:val="single" w:sz="8" w:color="CCEEFF"/>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(15,816,975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(5,456,034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129,222</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Lottery.com Inc.</w:t>
            </w:r>
          </w:p>
        </w:tc>
        <w:tc>
          <w:tcPr>
            <w:tcW w:w="4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(15,687,753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(5,456,034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6"/>
                <w:szCs w:val="16"/>
                <w:color w:val="auto"/>
              </w:rPr>
              <w:t>(0.33</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w:t>
            </w:r>
          </w:p>
        </w:tc>
        <w:tc>
          <w:tcPr>
            <w:tcW w:w="102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(0.24</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46,832,919</w:t>
            </w:r>
          </w:p>
        </w:tc>
        <w:tc>
          <w:tcPr>
            <w:tcW w:w="200" w:type="dxa"/>
            <w:vAlign w:val="bottom"/>
          </w:tcPr>
          <w:p>
            <w:pPr>
              <w:spacing w:after="0"/>
              <w:rPr>
                <w:sz w:val="22"/>
                <w:szCs w:val="22"/>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22,888,700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1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Lottery.com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50,795,889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62,638,970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35,796,548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21,696,653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12,843,029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13,896,638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246,599</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226,200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99,682,065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98,458,461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19,590,758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19,590,758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28,500,219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28,710,980</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121,293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141,279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154,644,335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147,151,478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2,559,846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1,006,535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544,643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662,335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3,477,339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3,771,340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180,281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176,260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expenses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4,081,672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4,528,815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10,843,781</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10,145,285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1,522</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10,845,303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10,146,454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par value $0.001, 1,000,000 shares authorized, none issued and outstanding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500,000,000 shares authorized, 46,928,367 and 46,808,251 issued and outstanding</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March 31, 2022 and 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46,928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263,022,161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240,411,298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(121,919,207)</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(106,232,518)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Lottery.com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141,148,163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134,224,933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2,650,869</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2,780,091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143,799,032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137,005,024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154,644,335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147,151,478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Lottery.com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56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68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Lottery.com Inc.</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(15,686,689)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(5,456,034)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(129,222)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1,373,925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367,259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1,841,807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22,174,488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2,160</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&amp;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(14,099,895)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1,053,609</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894,872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(20,399)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1,553,311</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(354,736)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(117,692)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(2,039,113)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4,021</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(605,961)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(10,648)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1,512,125</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(3,904,838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4"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Purchases of intangible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Issuance of digital securities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Proceeds from exercise of options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debt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Issuance of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Principal payments on debt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net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left="320"/>
        <w:spacing w:after="0"/>
        <w:tabs>
          <w:tab w:leader="none" w:pos="1620" w:val="left"/>
        </w:tabs>
        <w:rPr>
          <w:sz w:val="20"/>
          <w:szCs w:val="20"/>
          <w:color w:val="auto"/>
        </w:rPr>
      </w:pPr>
      <w:r>
        <w:rPr>
          <w:rFonts w:ascii="Times New Roman" w:cs="Times New Roman" w:eastAsia="Times New Roman" w:hAnsi="Times New Roman"/>
          <w:sz w:val="18"/>
          <w:szCs w:val="18"/>
          <w:color w:val="auto"/>
        </w:rPr>
        <w:t>(18,305)</w:t>
      </w:r>
      <w:r>
        <w:rPr>
          <w:sz w:val="20"/>
          <w:szCs w:val="20"/>
          <w:color w:val="auto"/>
        </w:rPr>
        <w:tab/>
      </w:r>
      <w:r>
        <w:rPr>
          <w:rFonts w:ascii="Times New Roman" w:cs="Times New Roman" w:eastAsia="Times New Roman" w:hAnsi="Times New Roman"/>
          <w:sz w:val="18"/>
          <w:szCs w:val="18"/>
          <w:color w:val="auto"/>
        </w:rPr>
        <w:t>(57,452)</w:t>
      </w:r>
    </w:p>
    <w:p>
      <w:pPr>
        <w:spacing w:after="0" w:line="27"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(1,124,873)</w:t>
      </w:r>
      <w:r>
        <w:rPr>
          <w:sz w:val="20"/>
          <w:szCs w:val="20"/>
          <w:color w:val="auto"/>
        </w:rPr>
        <w:tab/>
      </w:r>
      <w:r>
        <w:rPr>
          <w:rFonts w:ascii="Times New Roman" w:cs="Times New Roman" w:eastAsia="Times New Roman" w:hAnsi="Times New Roman"/>
          <w:sz w:val="18"/>
          <w:szCs w:val="18"/>
          <w:color w:val="auto"/>
        </w:rPr>
        <w:t>(3,050,000)</w:t>
      </w:r>
    </w:p>
    <w:p>
      <w:pPr>
        <w:spacing w:after="0" w:line="23"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(1,143,178)</w:t>
      </w:r>
      <w:r>
        <w:rPr>
          <w:sz w:val="20"/>
          <w:szCs w:val="20"/>
          <w:color w:val="auto"/>
        </w:rPr>
        <w:tab/>
      </w:r>
      <w:r>
        <w:rPr>
          <w:rFonts w:ascii="Times New Roman" w:cs="Times New Roman" w:eastAsia="Times New Roman" w:hAnsi="Times New Roman"/>
          <w:sz w:val="18"/>
          <w:szCs w:val="18"/>
          <w:color w:val="auto"/>
        </w:rPr>
        <w:t>(3,107,452)</w:t>
      </w:r>
    </w:p>
    <w:p>
      <w:pPr>
        <w:spacing w:after="0" w:line="200" w:lineRule="exact"/>
        <w:rPr>
          <w:sz w:val="20"/>
          <w:szCs w:val="20"/>
          <w:color w:val="auto"/>
        </w:rPr>
      </w:pPr>
    </w:p>
    <w:p>
      <w:pPr>
        <w:spacing w:after="0" w:line="277" w:lineRule="exact"/>
        <w:rPr>
          <w:sz w:val="20"/>
          <w:szCs w:val="20"/>
          <w:color w:val="auto"/>
        </w:rPr>
      </w:pPr>
    </w:p>
    <w:p>
      <w:pPr>
        <w:ind w:left="1600" w:hanging="791"/>
        <w:spacing w:after="0"/>
        <w:tabs>
          <w:tab w:leader="none" w:pos="1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108,332</w:t>
      </w:r>
    </w:p>
    <w:p>
      <w:pPr>
        <w:spacing w:after="0" w:line="27" w:lineRule="exact"/>
        <w:rPr>
          <w:rFonts w:ascii="Times New Roman" w:cs="Times New Roman" w:eastAsia="Times New Roman" w:hAnsi="Times New Roman"/>
          <w:sz w:val="18"/>
          <w:szCs w:val="18"/>
          <w:color w:val="auto"/>
        </w:rPr>
      </w:pPr>
    </w:p>
    <w:p>
      <w:pPr>
        <w:ind w:left="1920" w:hanging="1111"/>
        <w:spacing w:after="0"/>
        <w:tabs>
          <w:tab w:leader="none" w:pos="1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895</w:t>
      </w:r>
    </w:p>
    <w:p>
      <w:pPr>
        <w:spacing w:after="0" w:line="9" w:lineRule="exact"/>
        <w:rPr>
          <w:rFonts w:ascii="Times New Roman" w:cs="Times New Roman" w:eastAsia="Times New Roman" w:hAnsi="Times New Roman"/>
          <w:sz w:val="18"/>
          <w:szCs w:val="18"/>
          <w:color w:val="auto"/>
        </w:rPr>
      </w:pPr>
    </w:p>
    <w:p>
      <w:pPr>
        <w:ind w:left="1380" w:hanging="57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19,282,619</w:t>
      </w:r>
    </w:p>
    <w:p>
      <w:pPr>
        <w:spacing w:after="0" w:line="9"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(6,500,000)-</w:t>
      </w:r>
    </w:p>
    <w:p>
      <w:pPr>
        <w:spacing w:after="0" w:line="9"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(294,001)(4,856,250)</w:t>
      </w:r>
    </w:p>
    <w:p>
      <w:pPr>
        <w:spacing w:after="0" w:line="22"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(6,794,001)14,535,596</w:t>
      </w:r>
    </w:p>
    <w:p>
      <w:pPr>
        <w:spacing w:after="0" w:line="44"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(1,064)-</w:t>
      </w:r>
    </w:p>
    <w:p>
      <w:pPr>
        <w:spacing w:after="0" w:line="2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(11,843,081)</w:t>
      </w:r>
      <w:r>
        <w:rPr>
          <w:sz w:val="20"/>
          <w:szCs w:val="20"/>
          <w:color w:val="auto"/>
        </w:rPr>
        <w:tab/>
      </w:r>
      <w:r>
        <w:rPr>
          <w:rFonts w:ascii="Times New Roman" w:cs="Times New Roman" w:eastAsia="Times New Roman" w:hAnsi="Times New Roman"/>
          <w:sz w:val="18"/>
          <w:szCs w:val="18"/>
          <w:color w:val="auto"/>
        </w:rPr>
        <w:t>7,535,670</w:t>
      </w:r>
    </w:p>
    <w:p>
      <w:pPr>
        <w:spacing w:after="0" w:line="9"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8"/>
          <w:szCs w:val="18"/>
          <w:color w:val="auto"/>
        </w:rPr>
        <w:t>62,638,970</w:t>
      </w:r>
      <w:r>
        <w:rPr>
          <w:sz w:val="20"/>
          <w:szCs w:val="20"/>
          <w:color w:val="auto"/>
        </w:rPr>
        <w:tab/>
      </w:r>
      <w:r>
        <w:rPr>
          <w:rFonts w:ascii="Times New Roman" w:cs="Times New Roman" w:eastAsia="Times New Roman" w:hAnsi="Times New Roman"/>
          <w:sz w:val="18"/>
          <w:szCs w:val="18"/>
          <w:color w:val="auto"/>
        </w:rPr>
        <w:t>10,775,511</w:t>
      </w:r>
    </w:p>
    <w:p>
      <w:pPr>
        <w:spacing w:after="0" w:line="58"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8"/>
          <w:szCs w:val="18"/>
          <w:color w:val="auto"/>
        </w:rPr>
        <w:t>50,795,889</w:t>
      </w:r>
      <w:r>
        <w:rPr>
          <w:sz w:val="20"/>
          <w:szCs w:val="20"/>
          <w:color w:val="auto"/>
        </w:rPr>
        <w:tab/>
      </w:r>
      <w:r>
        <w:rPr>
          <w:rFonts w:ascii="Times New Roman" w:cs="Times New Roman" w:eastAsia="Times New Roman" w:hAnsi="Times New Roman"/>
          <w:sz w:val="18"/>
          <w:szCs w:val="18"/>
          <w:color w:val="auto"/>
        </w:rPr>
        <w:t>18,311,181</w:t>
      </w:r>
    </w:p>
    <w:p>
      <w:pPr>
        <w:spacing w:after="0" w:line="27" w:lineRule="exact"/>
        <w:rPr>
          <w:sz w:val="20"/>
          <w:szCs w:val="20"/>
          <w:color w:val="auto"/>
        </w:rPr>
      </w:pPr>
    </w:p>
    <w:p>
      <w:pPr>
        <w:sectPr>
          <w:pgSz w:w="11900" w:h="16838" w:orient="portrait"/>
          <w:cols w:equalWidth="0" w:num="2">
            <w:col w:w="8220" w:space="720"/>
            <w:col w:w="230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380" w:type="dxa"/>
            <w:vAlign w:val="bottom"/>
            <w:tcBorders>
              <w:top w:val="single" w:sz="8" w:color="CCEEFF"/>
            </w:tcBorders>
            <w:shd w:val="clear" w:color="auto" w:fill="CCEEFF"/>
          </w:tcPr>
          <w:p>
            <w:pPr>
              <w:spacing w:after="0"/>
              <w:rPr>
                <w:sz w:val="22"/>
                <w:szCs w:val="22"/>
                <w:color w:val="auto"/>
              </w:rPr>
            </w:pPr>
          </w:p>
        </w:tc>
        <w:tc>
          <w:tcPr>
            <w:tcW w:w="33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 in cash</w:t>
            </w:r>
          </w:p>
        </w:tc>
        <w:tc>
          <w:tcPr>
            <w:tcW w:w="36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24,280</w:t>
            </w:r>
          </w:p>
        </w:tc>
        <w:tc>
          <w:tcPr>
            <w:tcW w:w="0" w:type="dxa"/>
            <w:vAlign w:val="bottom"/>
          </w:tcPr>
          <w:p>
            <w:pPr>
              <w:spacing w:after="0"/>
              <w:rPr>
                <w:sz w:val="1"/>
                <w:szCs w:val="1"/>
                <w:color w:val="auto"/>
              </w:rPr>
            </w:pPr>
          </w:p>
        </w:tc>
      </w:tr>
      <w:tr>
        <w:trPr>
          <w:trHeight w:val="21"/>
        </w:trPr>
        <w:tc>
          <w:tcPr>
            <w:tcW w:w="53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Taxes paid in cash</w:t>
            </w:r>
          </w:p>
        </w:tc>
        <w:tc>
          <w:tcPr>
            <w:tcW w:w="3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380" w:type="dxa"/>
            <w:vAlign w:val="bottom"/>
            <w:tcBorders>
              <w:bottom w:val="single" w:sz="8" w:color="CCEEFF"/>
            </w:tcBorders>
            <w:vMerge w:val="continue"/>
          </w:tcPr>
          <w:p>
            <w:pPr>
              <w:spacing w:after="0"/>
              <w:rPr>
                <w:sz w:val="22"/>
                <w:szCs w:val="22"/>
                <w:color w:val="auto"/>
              </w:rPr>
            </w:pPr>
          </w:p>
        </w:tc>
        <w:tc>
          <w:tcPr>
            <w:tcW w:w="3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cash investing and financing activities</w:t>
            </w:r>
          </w:p>
        </w:tc>
        <w:tc>
          <w:tcPr>
            <w:tcW w:w="3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194,695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Issuance of warrants</w:t>
            </w:r>
          </w:p>
        </w:tc>
        <w:tc>
          <w:tcPr>
            <w:tcW w:w="33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Conversion of convertible debt into common stock</w:t>
            </w:r>
          </w:p>
        </w:tc>
        <w:tc>
          <w:tcPr>
            <w:tcW w:w="36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vMerge w:val="continue"/>
          </w:tcPr>
          <w:p>
            <w:pPr>
              <w:spacing w:after="0"/>
              <w:rPr>
                <w:sz w:val="22"/>
                <w:szCs w:val="22"/>
                <w:color w:val="auto"/>
              </w:rPr>
            </w:pPr>
          </w:p>
        </w:tc>
        <w:tc>
          <w:tcPr>
            <w:tcW w:w="33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Purchase of intangible assets through the issuance of convertible debt</w:t>
            </w:r>
          </w:p>
        </w:tc>
        <w:tc>
          <w:tcPr>
            <w:tcW w:w="33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33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Lottery.com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EBITDA and Adjusted EBITDA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1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(15.8)</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780" w:type="dxa"/>
            <w:vAlign w:val="bottom"/>
          </w:tcPr>
          <w:p>
            <w:pPr>
              <w:spacing w:after="0"/>
              <w:rPr>
                <w:sz w:val="18"/>
                <w:szCs w:val="18"/>
                <w:color w:val="auto"/>
              </w:rPr>
            </w:pPr>
          </w:p>
        </w:tc>
        <w:tc>
          <w:tcPr>
            <w:tcW w:w="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(non-GAAP)</w:t>
            </w: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(14.5)</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top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Lottery.com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Schlarb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Investor Relations</w:t>
      </w:r>
    </w:p>
    <w:p>
      <w:pPr>
        <w:spacing w:after="0" w:line="9" w:lineRule="exact"/>
        <w:rPr>
          <w:sz w:val="20"/>
          <w:szCs w:val="20"/>
          <w:color w:val="auto"/>
        </w:rPr>
      </w:pPr>
    </w:p>
    <w:p>
      <w:pPr>
        <w:jc w:val="both"/>
        <w:ind w:right="10100" w:firstLine="8"/>
        <w:spacing w:after="0" w:line="260"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585-7789 ir@lottery.com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Jody Burfening/Harriet Fried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LHA Investor Relations</w:t>
      </w:r>
    </w:p>
    <w:p>
      <w:pPr>
        <w:spacing w:after="0" w:line="9" w:lineRule="exact"/>
        <w:rPr>
          <w:sz w:val="20"/>
          <w:szCs w:val="20"/>
          <w:color w:val="auto"/>
        </w:rPr>
      </w:pPr>
    </w:p>
    <w:p>
      <w:pPr>
        <w:ind w:right="10020" w:firstLine="8"/>
        <w:spacing w:after="0" w:line="290" w:lineRule="auto"/>
        <w:tabs>
          <w:tab w:leader="none" w:pos="4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838-3777 hfried@lhai.com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512"/>
    </w:lvl>
  </w:abstractNum>
  <w:abstractNum w:abstractNumId="6">
    <w:nsid w:val="41B71EF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2022-05-16T05:59:50Z</dcterms:created>
  <dcterms:modified xsi:type="dcterms:W3CDTF">2022-05-16T05:59:50Z</dcterms:modified>
</cp:coreProperties>
</file>