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209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February 9,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Sports Entertainment Gaming Global Corporation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550" w:type="dxa"/>
        <w:jc w:val="left"/>
        <w:tblInd w:w="0" w:type="dxa"/>
        <w:shd w:fill="FFFFFF" w:val="clear"/>
        <w:tblLayout w:type="fixed"/>
        <w:tblCellMar>
          <w:top w:w="0" w:type="dxa"/>
          <w:left w:w="0" w:type="dxa"/>
          <w:bottom w:w="28" w:type="dxa"/>
          <w:right w:w="0" w:type="dxa"/>
        </w:tblCellMar>
      </w:tblPr>
      <w:tblGrid>
        <w:gridCol w:w="2360"/>
        <w:gridCol w:w="60"/>
        <w:gridCol w:w="1505"/>
        <w:gridCol w:w="60"/>
        <w:gridCol w:w="1565"/>
      </w:tblGrid>
      <w:tr>
        <w:trPr/>
        <w:tc>
          <w:tcPr>
            <w:tcW w:w="23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209"/>
            <w:bookmarkEnd w:id="6"/>
            <w:r>
              <w:rPr>
                <w:rFonts w:ascii="Times New Roman;Times;Serif" w:hAnsi="Times New Roman;Times;Serif"/>
                <w:b/>
                <w:i w:val="false"/>
                <w:caps w:val="false"/>
                <w:smallCaps w:val="false"/>
                <w:sz w:val="20"/>
              </w:rPr>
              <w:t>001-38508</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w:t>
            </w:r>
            <w:bookmarkStart w:id="7" w:name="xdx_902_edei--EntityTaxIdentificationNum"/>
            <w:bookmarkEnd w:id="7"/>
            <w:r>
              <w:rPr>
                <w:rFonts w:ascii="Times New Roman;Times;Serif" w:hAnsi="Times New Roman;Times;Serif"/>
                <w:b/>
                <w:i w:val="false"/>
                <w:caps w:val="false"/>
                <w:smallCaps w:val="false"/>
                <w:sz w:val="20"/>
              </w:rPr>
              <w:t>81-1996183</w:t>
            </w:r>
          </w:p>
        </w:tc>
      </w:tr>
      <w:tr>
        <w:trPr/>
        <w:tc>
          <w:tcPr>
            <w:tcW w:w="23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w:t>
              <w:br/>
              <w:t>Number)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390" w:type="dxa"/>
        <w:jc w:val="left"/>
        <w:tblInd w:w="0" w:type="dxa"/>
        <w:shd w:fill="FFFFFF" w:val="clear"/>
        <w:tblLayout w:type="fixed"/>
        <w:tblCellMar>
          <w:top w:w="0" w:type="dxa"/>
          <w:left w:w="0" w:type="dxa"/>
          <w:bottom w:w="28" w:type="dxa"/>
          <w:right w:w="0" w:type="dxa"/>
        </w:tblCellMar>
      </w:tblPr>
      <w:tblGrid>
        <w:gridCol w:w="3395"/>
        <w:gridCol w:w="60"/>
        <w:gridCol w:w="935"/>
      </w:tblGrid>
      <w:tr>
        <w:trPr/>
        <w:tc>
          <w:tcPr>
            <w:tcW w:w="339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5049 Edwards Ranch Rd.,</w:t>
            </w:r>
            <w:r>
              <w:rPr>
                <w:rFonts w:ascii="Times New Roman;Times;Serif" w:hAnsi="Times New Roman;Times;Serif"/>
                <w:b w:val="false"/>
                <w:i w:val="false"/>
                <w:caps w:val="false"/>
                <w:smallCaps w:val="false"/>
                <w:sz w:val="20"/>
              </w:rPr>
              <w:t xml:space="preserve"> </w:t>
            </w:r>
            <w:bookmarkStart w:id="9" w:name="xdx_90C_edei--EntityAddressAddressLine2_"/>
            <w:bookmarkEnd w:id="9"/>
            <w:r>
              <w:rPr>
                <w:rFonts w:ascii="Times New Roman;Times;Serif" w:hAnsi="Times New Roman;Times;Serif"/>
                <w:b/>
                <w:i w:val="false"/>
                <w:caps w:val="false"/>
                <w:smallCaps w:val="false"/>
                <w:sz w:val="20"/>
              </w:rPr>
              <w:t>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Fort Worth, </w:t>
            </w:r>
            <w:bookmarkStart w:id="11" w:name="xdx_90F_edei--EntityAddressStateOrProvin"/>
            <w:bookmarkEnd w:id="11"/>
            <w:r>
              <w:rPr>
                <w:rFonts w:ascii="Times New Roman;Times;Serif" w:hAnsi="Times New Roman;Times;Serif"/>
                <w:b/>
                <w:i w:val="false"/>
                <w:caps w:val="false"/>
                <w:smallCaps w:val="false"/>
                <w:sz w:val="20"/>
              </w:rPr>
              <w:t>Texas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76109</w:t>
            </w:r>
          </w:p>
        </w:tc>
      </w:tr>
      <w:tr>
        <w:trPr/>
        <w:tc>
          <w:tcPr>
            <w:tcW w:w="33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3_edei--CityAreaCode_c20260209__20"/>
      <w:bookmarkEnd w:id="13"/>
      <w:r>
        <w:rPr>
          <w:rFonts w:ascii="Times New Roman;Times;Serif" w:hAnsi="Times New Roman;Times;Serif"/>
          <w:b/>
          <w:i w:val="false"/>
          <w:caps w:val="false"/>
          <w:smallCaps w:val="false"/>
          <w:sz w:val="20"/>
        </w:rPr>
        <w:t xml:space="preserve">(737) </w:t>
      </w:r>
      <w:bookmarkStart w:id="14" w:name="xdx_90D_edei--LocalPhoneNumber_c20260209"/>
      <w:bookmarkEnd w:id="14"/>
      <w:r>
        <w:rPr>
          <w:rFonts w:ascii="Times New Roman;Times;Serif" w:hAnsi="Times New Roman;Times;Serif"/>
          <w:b/>
          <w:i w:val="false"/>
          <w:caps w:val="false"/>
          <w:smallCaps w:val="false"/>
          <w:sz w:val="20"/>
        </w:rPr>
        <w:t>787-3798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6" w:name="xdx_909_edei--SolicitingMaterial_c202602"/>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5639"/>
        <w:gridCol w:w="60"/>
        <w:gridCol w:w="1401"/>
        <w:gridCol w:w="60"/>
        <w:gridCol w:w="3045"/>
      </w:tblGrid>
      <w:tr>
        <w:trPr/>
        <w:tc>
          <w:tcPr>
            <w:tcW w:w="5639"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1"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60209"/>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209__2"/>
            <w:bookmarkEnd w:id="20"/>
            <w:r>
              <w:rPr>
                <w:rFonts w:ascii="Times New Roman;Times;Serif" w:hAnsi="Times New Roman;Times;Serif"/>
                <w:b w:val="false"/>
                <w:i w:val="false"/>
                <w:caps w:val="false"/>
                <w:smallCaps w:val="false"/>
                <w:sz w:val="20"/>
              </w:rPr>
              <w:t>SEGG</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563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Security12bTitle_c20260209"/>
            <w:bookmarkEnd w:id="22"/>
            <w:r>
              <w:rPr>
                <w:rFonts w:ascii="Times New Roman;Times;Serif" w:hAnsi="Times New Roman;Times;Serif"/>
                <w:b w:val="false"/>
                <w:i w:val="false"/>
                <w:caps w:val="false"/>
                <w:smallCaps w:val="false"/>
                <w:sz w:val="20"/>
              </w:rPr>
              <w:t>Warrants to purchase one share of common stock, each at an exercise price of $2,300.00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TradingSymbol_c20260209__2"/>
            <w:bookmarkEnd w:id="23"/>
            <w:r>
              <w:rPr>
                <w:rFonts w:ascii="Times New Roman;Times;Serif" w:hAnsi="Times New Roman;Times;Serif"/>
                <w:b w:val="false"/>
                <w:i w:val="false"/>
                <w:caps w:val="false"/>
                <w:smallCaps w:val="false"/>
                <w:sz w:val="20"/>
              </w:rPr>
              <w:t>LTRYW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C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bookmarkStart w:id="26" w:name="xdx_908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Sports Entertainment Gaming Global Corproation. (the “Company” or “SEGG Media”) held its 2025 Annual Meeting of Stockholders (the “Annual Meeting”). At the Annual Meeting that was conducted virtually, holders of the common stock as of the record date of January 15, 2026 (the “Record Date”) were entitled to receive notice and vote at the meeting, which was held at https://www.cstproxy.com/lottery/2026 at 10:00 a.m. Eastern Time. The Inspector of Election certified that as of the Record Date, there were 8,850,518 shares of Common Stock entitled to vote. The total number of shares voted in person or by proxy were 3,979,239 – 44.96%, which were cast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 PROPOSAL WITHDRAWN – NO VOTE REQUIRED.</w:t>
      </w:r>
      <w:r>
        <w:rPr>
          <w:rFonts w:ascii="Times New Roman;Times;Serif" w:hAnsi="Times New Roman;Times;Serif"/>
          <w:b w:val="false"/>
          <w:i w:val="false"/>
          <w:caps w:val="false"/>
          <w:smallCaps w:val="false"/>
          <w:sz w:val="20"/>
        </w:rPr>
        <w:t xml:space="preserve"> The proposal to amend the Company’s Articles of Incorporation (as previously amended and restated) for the purpose of restating the Certificate of Incorporation to change the Company’s name from “Lottery.com Inc.” to “Sports Entertainment Gaming Global Corporation” has been withdrawn. Pursuant to Sections 242 (a)(1) and (d)(1) of Delaware General Corporation Law, no meeting or vote of shareholders is required to adopt a change of the corporation’s name. Accordingly, on January 27, 2026, the Company filed its application with the Delaware Division of Corporations to officially change its name to Sports Entertainment Gaming Global Corporation. The Delaware Division of Corporations accepted the application for name change and the Company’s legal name was changed as described herein, effective as of January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 To elect one nominee for Class III director named in the accompanying proxy statement to serve until the 2028 annual meeting of stockholders and until their successor is duly elected and qualified</w:t>
      </w:r>
    </w:p>
    <w:p>
      <w:pPr>
        <w:pStyle w:val="TextBody"/>
        <w:bidi w:val="0"/>
        <w:spacing w:before="0" w:after="0"/>
        <w:ind w:left="0" w:right="0" w:hanging="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995"/>
        <w:gridCol w:w="60"/>
        <w:gridCol w:w="1130"/>
        <w:gridCol w:w="60"/>
        <w:gridCol w:w="1115"/>
        <w:gridCol w:w="60"/>
        <w:gridCol w:w="14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BROKER</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60" w:type="dxa"/>
            <w:tcBorders/>
            <w:vAlign w:val="center"/>
          </w:tcPr>
          <w:p>
            <w:pPr>
              <w:pStyle w:val="TableContents"/>
              <w:bidi w:val="0"/>
              <w:spacing w:before="0" w:after="283"/>
              <w:jc w:val="center"/>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ABSTAIN</w:t>
            </w:r>
          </w:p>
        </w:tc>
        <w:tc>
          <w:tcPr>
            <w:tcW w:w="60" w:type="dxa"/>
            <w:tcBorders/>
            <w:vAlign w:val="center"/>
          </w:tcPr>
          <w:p>
            <w:pPr>
              <w:pStyle w:val="TableContents"/>
              <w:bidi w:val="0"/>
              <w:spacing w:before="0" w:after="283"/>
              <w:jc w:val="center"/>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NON-VOTES</w:t>
            </w:r>
          </w:p>
        </w:tc>
      </w:tr>
      <w:tr>
        <w:trPr/>
        <w:tc>
          <w:tcPr>
            <w:tcW w:w="99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3,979,239</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475"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 To ratify the appointment by the audit committee of our board of directors of Boladale Lawal &amp; Co. as our independent registered as public accounting firm for the year ending December 31, 2025 and quarterly reviews of our financial statements for 2026</w:t>
      </w:r>
    </w:p>
    <w:p>
      <w:pPr>
        <w:pStyle w:val="TextBody"/>
        <w:bidi w:val="0"/>
        <w:spacing w:before="0" w:after="0"/>
        <w:ind w:left="0" w:right="0" w:hanging="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995"/>
        <w:gridCol w:w="60"/>
        <w:gridCol w:w="1130"/>
        <w:gridCol w:w="60"/>
        <w:gridCol w:w="1115"/>
        <w:gridCol w:w="60"/>
        <w:gridCol w:w="14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BROKER</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60" w:type="dxa"/>
            <w:tcBorders/>
            <w:vAlign w:val="center"/>
          </w:tcPr>
          <w:p>
            <w:pPr>
              <w:pStyle w:val="TableContents"/>
              <w:bidi w:val="0"/>
              <w:spacing w:before="0" w:after="283"/>
              <w:jc w:val="center"/>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ABSTAIN</w:t>
            </w:r>
          </w:p>
        </w:tc>
        <w:tc>
          <w:tcPr>
            <w:tcW w:w="60" w:type="dxa"/>
            <w:tcBorders/>
            <w:vAlign w:val="center"/>
          </w:tcPr>
          <w:p>
            <w:pPr>
              <w:pStyle w:val="TableContents"/>
              <w:bidi w:val="0"/>
              <w:spacing w:before="0" w:after="283"/>
              <w:jc w:val="center"/>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NON-VOTES</w:t>
            </w:r>
          </w:p>
        </w:tc>
      </w:tr>
      <w:tr>
        <w:trPr/>
        <w:tc>
          <w:tcPr>
            <w:tcW w:w="99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3,979,239</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475"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 To approve the potential issuance of shares of our common stock, par value $0.001 per share (the “common stock”) and warrants to purchase shares of our common stock (the “warrants”) that may </w:t>
      </w:r>
      <w:r>
        <w:rPr>
          <w:rFonts w:ascii="Times New Roman;Times;Serif" w:hAnsi="Times New Roman;Times;Serif"/>
          <w:b w:val="false"/>
          <w:i w:val="false"/>
          <w:caps w:val="false"/>
          <w:smallCaps w:val="false"/>
          <w:sz w:val="20"/>
          <w:shd w:fill="FFFFFF" w:val="clear"/>
        </w:rPr>
        <w:t>result in a change of control of the Company</w:t>
      </w:r>
      <w:r>
        <w:rPr>
          <w:rFonts w:ascii="Times New Roman;Times;Serif" w:hAnsi="Times New Roman;Times;Serif"/>
          <w:b w:val="false"/>
          <w:i w:val="false"/>
          <w:caps w:val="false"/>
          <w:smallCaps w:val="false"/>
          <w:sz w:val="20"/>
        </w:rPr>
        <w:t xml:space="preserve"> and in an amount that, in certain circumstances, may be equal to or exceed 20% of our common stock outstanding for purposes of complying with Nasdaq Listing Rules 5635(b) and 5635(d) (the “Nasdaq Exchange Cap Proposal”)</w:t>
      </w:r>
    </w:p>
    <w:p>
      <w:pPr>
        <w:pStyle w:val="TextBody"/>
        <w:bidi w:val="0"/>
        <w:spacing w:before="0" w:after="0"/>
        <w:ind w:left="0" w:right="0" w:hanging="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995"/>
        <w:gridCol w:w="60"/>
        <w:gridCol w:w="1130"/>
        <w:gridCol w:w="60"/>
        <w:gridCol w:w="1115"/>
        <w:gridCol w:w="60"/>
        <w:gridCol w:w="14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BROKER</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60" w:type="dxa"/>
            <w:tcBorders/>
            <w:vAlign w:val="center"/>
          </w:tcPr>
          <w:p>
            <w:pPr>
              <w:pStyle w:val="TableContents"/>
              <w:bidi w:val="0"/>
              <w:spacing w:before="0" w:after="283"/>
              <w:jc w:val="center"/>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ABSTAIN</w:t>
            </w:r>
          </w:p>
        </w:tc>
        <w:tc>
          <w:tcPr>
            <w:tcW w:w="60" w:type="dxa"/>
            <w:tcBorders/>
            <w:vAlign w:val="center"/>
          </w:tcPr>
          <w:p>
            <w:pPr>
              <w:pStyle w:val="TableContents"/>
              <w:bidi w:val="0"/>
              <w:spacing w:before="0" w:after="283"/>
              <w:jc w:val="center"/>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NON-VOTES</w:t>
            </w:r>
          </w:p>
        </w:tc>
      </w:tr>
      <w:tr>
        <w:trPr/>
        <w:tc>
          <w:tcPr>
            <w:tcW w:w="99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3,979,239</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475"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xml:space="preserve"> – To approve, if required, one or more amendments to the Company’s Articles of Incorporation (as amended and restated from time to time) and to authorize the Company’s Board of Directors to effect one or more forward stock splits of our common stock (“Forward Stock Splits”, each a “Forward Stock Split”), par value $0.001 per share (the “Common Stock”) at a ratio in the range of two-for-one to thirty-for-one of our Common Stock, with the number of Forward Stock Splits and the exact ratio of each Forward Stock Split to be determined at the discretion of the Company’s Board of Directors and with each such Forward Stock Split to be effected at such time and date, if at all, as determined by the Company’s Board of Directors at its sole discretion (the “Forward Stock Split(s) Proposal”)</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995"/>
        <w:gridCol w:w="60"/>
        <w:gridCol w:w="1130"/>
        <w:gridCol w:w="60"/>
        <w:gridCol w:w="1115"/>
        <w:gridCol w:w="60"/>
        <w:gridCol w:w="14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BROKER</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60" w:type="dxa"/>
            <w:tcBorders/>
            <w:vAlign w:val="center"/>
          </w:tcPr>
          <w:p>
            <w:pPr>
              <w:pStyle w:val="TableContents"/>
              <w:bidi w:val="0"/>
              <w:spacing w:before="0" w:after="283"/>
              <w:jc w:val="center"/>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ABSTAIN</w:t>
            </w:r>
          </w:p>
        </w:tc>
        <w:tc>
          <w:tcPr>
            <w:tcW w:w="60" w:type="dxa"/>
            <w:tcBorders/>
            <w:vAlign w:val="center"/>
          </w:tcPr>
          <w:p>
            <w:pPr>
              <w:pStyle w:val="TableContents"/>
              <w:bidi w:val="0"/>
              <w:spacing w:before="0" w:after="283"/>
              <w:jc w:val="center"/>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NON-VOTES</w:t>
            </w:r>
          </w:p>
        </w:tc>
      </w:tr>
      <w:tr>
        <w:trPr/>
        <w:tc>
          <w:tcPr>
            <w:tcW w:w="99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3,979,239</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475"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 To approve, if required, one or more amendments to the Company’s Articles of Incorporation (as amended and restated from time to time) and to authorize the Company’s Board of Directors to effect one or more reverse stock splits of our common stock (“Reverse Stock Splits”, each a “Reverse Stock Split”), par value $0.001 per share (the “Common Stock”) at a ratio in the range of one-for-two to one-for-thirty of our Common Stock, with the number of Reverse Stock Splits and the exact ratio of each Reverse Stock Split to be determined at the discretion of the Company’s Board of Directors and with each such Reverse Stock Split to be effected at such time and date, if at all, as determined by the Company’s Board of Directors at its sole discretion (the “Reverse Stock Split(s) Proposal”)</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995"/>
        <w:gridCol w:w="60"/>
        <w:gridCol w:w="1130"/>
        <w:gridCol w:w="60"/>
        <w:gridCol w:w="1115"/>
        <w:gridCol w:w="60"/>
        <w:gridCol w:w="14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BROKER</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60" w:type="dxa"/>
            <w:tcBorders/>
            <w:vAlign w:val="center"/>
          </w:tcPr>
          <w:p>
            <w:pPr>
              <w:pStyle w:val="TableContents"/>
              <w:bidi w:val="0"/>
              <w:spacing w:before="0" w:after="283"/>
              <w:jc w:val="center"/>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ABSTAIN</w:t>
            </w:r>
          </w:p>
        </w:tc>
        <w:tc>
          <w:tcPr>
            <w:tcW w:w="60" w:type="dxa"/>
            <w:tcBorders/>
            <w:vAlign w:val="center"/>
          </w:tcPr>
          <w:p>
            <w:pPr>
              <w:pStyle w:val="TableContents"/>
              <w:bidi w:val="0"/>
              <w:spacing w:before="0" w:after="283"/>
              <w:jc w:val="center"/>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NON-VOTES</w:t>
            </w:r>
          </w:p>
        </w:tc>
      </w:tr>
      <w:tr>
        <w:trPr/>
        <w:tc>
          <w:tcPr>
            <w:tcW w:w="99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3,979,239</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475"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7</w:t>
      </w:r>
      <w:r>
        <w:rPr>
          <w:rFonts w:ascii="Times New Roman;Times;Serif" w:hAnsi="Times New Roman;Times;Serif"/>
          <w:b w:val="false"/>
          <w:i w:val="false"/>
          <w:caps w:val="false"/>
          <w:smallCaps w:val="false"/>
          <w:sz w:val="20"/>
        </w:rPr>
        <w:t>– To approve an amendment to the Company’s 2021 Incentive Plan to increase the number of shares reserved for issuance thereunder to 3,750,000 shares (the “Incentive Plan Amendment Proposal”).</w:t>
      </w:r>
    </w:p>
    <w:p>
      <w:pPr>
        <w:pStyle w:val="TextBody"/>
        <w:bidi w:val="0"/>
        <w:spacing w:before="0" w:after="0"/>
        <w:ind w:left="0" w:right="0" w:hanging="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995"/>
        <w:gridCol w:w="60"/>
        <w:gridCol w:w="1130"/>
        <w:gridCol w:w="60"/>
        <w:gridCol w:w="1115"/>
        <w:gridCol w:w="60"/>
        <w:gridCol w:w="14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BROKER</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60" w:type="dxa"/>
            <w:tcBorders/>
            <w:vAlign w:val="center"/>
          </w:tcPr>
          <w:p>
            <w:pPr>
              <w:pStyle w:val="TableContents"/>
              <w:bidi w:val="0"/>
              <w:spacing w:before="0" w:after="283"/>
              <w:jc w:val="center"/>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ABSTAIN</w:t>
            </w:r>
          </w:p>
        </w:tc>
        <w:tc>
          <w:tcPr>
            <w:tcW w:w="60" w:type="dxa"/>
            <w:tcBorders/>
            <w:vAlign w:val="center"/>
          </w:tcPr>
          <w:p>
            <w:pPr>
              <w:pStyle w:val="TableContents"/>
              <w:bidi w:val="0"/>
              <w:spacing w:before="0" w:after="283"/>
              <w:jc w:val="center"/>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NON-VOTES</w:t>
            </w:r>
          </w:p>
        </w:tc>
      </w:tr>
      <w:tr>
        <w:trPr/>
        <w:tc>
          <w:tcPr>
            <w:tcW w:w="99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3,979,239</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475"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8</w:t>
      </w:r>
      <w:r>
        <w:rPr>
          <w:rFonts w:ascii="Times New Roman;Times;Serif" w:hAnsi="Times New Roman;Times;Serif"/>
          <w:b w:val="false"/>
          <w:i w:val="false"/>
          <w:caps w:val="false"/>
          <w:smallCaps w:val="false"/>
          <w:sz w:val="20"/>
        </w:rPr>
        <w:t>– To approve, on an advisory basis, a proposal to adjourn the Annual Meeting, if necessary or appropriate, to solicit additional proxies if there are not sufficient votes at the time of the Annual Meeting to approve the Reverse Stock Split Proposal.</w:t>
      </w:r>
    </w:p>
    <w:p>
      <w:pPr>
        <w:pStyle w:val="TextBody"/>
        <w:bidi w:val="0"/>
        <w:spacing w:before="0" w:after="0"/>
        <w:ind w:left="0" w:right="0" w:hanging="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995"/>
        <w:gridCol w:w="60"/>
        <w:gridCol w:w="1130"/>
        <w:gridCol w:w="60"/>
        <w:gridCol w:w="1115"/>
        <w:gridCol w:w="60"/>
        <w:gridCol w:w="14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BROKER</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t>
            </w:r>
          </w:p>
        </w:tc>
        <w:tc>
          <w:tcPr>
            <w:tcW w:w="60" w:type="dxa"/>
            <w:tcBorders/>
            <w:vAlign w:val="center"/>
          </w:tcPr>
          <w:p>
            <w:pPr>
              <w:pStyle w:val="TableContents"/>
              <w:bidi w:val="0"/>
              <w:spacing w:before="0" w:after="283"/>
              <w:jc w:val="center"/>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AGAINST</w:t>
            </w:r>
          </w:p>
        </w:tc>
        <w:tc>
          <w:tcPr>
            <w:tcW w:w="60" w:type="dxa"/>
            <w:tcBorders/>
            <w:vAlign w:val="center"/>
          </w:tcPr>
          <w:p>
            <w:pPr>
              <w:pStyle w:val="TableContents"/>
              <w:bidi w:val="0"/>
              <w:spacing w:before="0" w:after="283"/>
              <w:jc w:val="center"/>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ABSTAIN</w:t>
            </w:r>
          </w:p>
        </w:tc>
        <w:tc>
          <w:tcPr>
            <w:tcW w:w="60" w:type="dxa"/>
            <w:tcBorders/>
            <w:vAlign w:val="center"/>
          </w:tcPr>
          <w:p>
            <w:pPr>
              <w:pStyle w:val="TableContents"/>
              <w:bidi w:val="0"/>
              <w:spacing w:before="0" w:after="283"/>
              <w:jc w:val="center"/>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NON-VOTES</w:t>
            </w:r>
          </w:p>
        </w:tc>
      </w:tr>
      <w:tr>
        <w:trPr/>
        <w:tc>
          <w:tcPr>
            <w:tcW w:w="99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3,979,239</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center"/>
              <w:rPr/>
            </w:pPr>
            <w:r>
              <w:rPr/>
              <w:t> </w:t>
            </w:r>
          </w:p>
        </w:tc>
        <w:tc>
          <w:tcPr>
            <w:tcW w:w="1475"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Oath of Inspector of Elections</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29" w:type="dxa"/>
        <w:jc w:val="left"/>
        <w:tblInd w:w="0" w:type="dxa"/>
        <w:shd w:fill="FFFFFF" w:val="clear"/>
        <w:tblLayout w:type="fixed"/>
        <w:tblCellMar>
          <w:top w:w="0" w:type="dxa"/>
          <w:left w:w="0" w:type="dxa"/>
          <w:bottom w:w="0" w:type="dxa"/>
          <w:right w:w="0" w:type="dxa"/>
        </w:tblCellMar>
      </w:tblPr>
      <w:tblGrid>
        <w:gridCol w:w="1415"/>
        <w:gridCol w:w="716"/>
        <w:gridCol w:w="3398"/>
      </w:tblGrid>
      <w:tr>
        <w:trPr/>
        <w:tc>
          <w:tcPr>
            <w:tcW w:w="1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w:t>
            </w:r>
          </w:p>
        </w:tc>
      </w:tr>
      <w:tr>
        <w:trPr/>
        <w:tc>
          <w:tcPr>
            <w:tcW w:w="1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9, 2026</w:t>
            </w:r>
          </w:p>
        </w:tc>
        <w:tc>
          <w:tcPr>
            <w:tcW w:w="7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65276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1237</Words>
  <Characters>6543</Characters>
  <CharactersWithSpaces>7830</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