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nt10-q.htm"/>
      <w:bookmarkStart w:id="1" w:name="ksformnt10q"/>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12b-25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OF LATE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 File Number: </w:t>
      </w:r>
      <w:r>
        <w:rPr>
          <w:rFonts w:ascii="Times New Roman;Times;Serif" w:hAnsi="Times New Roman;Times;Serif"/>
          <w:b/>
          <w:i w:val="false"/>
          <w:caps w:val="false"/>
          <w:smallCaps w:val="false"/>
          <w:sz w:val="20"/>
          <w:u w:val="single"/>
        </w:rPr>
        <w:t>001-38508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CUSIP NUMBER: </w:t>
      </w:r>
      <w:r>
        <w:rPr>
          <w:rFonts w:ascii="Times New Roman;Times;Serif" w:hAnsi="Times New Roman;Times;Serif"/>
          <w:b/>
          <w:i w:val="false"/>
          <w:caps w:val="false"/>
          <w:smallCaps w:val="false"/>
          <w:sz w:val="20"/>
          <w:u w:val="single"/>
        </w:rPr>
        <w:t>54570M405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(Check One)</w:t>
      </w:r>
      <w:r>
        <w:rPr>
          <w:rFonts w:ascii="Times New Roman;Times;Serif" w:hAnsi="Times New Roman;Times;Serif"/>
          <w:b w:val="false"/>
          <w:i w:val="false"/>
          <w:caps w:val="false"/>
          <w:smallCaps w:val="false"/>
          <w:sz w:val="20"/>
        </w:rPr>
        <w:t>: ☐ Form 10-K ☐ Form 20-F ☐ Form 11-K ☒ Form 10-Q ☐ Form 10-D ☐ Form N-CEN ☐ Form N-CSR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Period Ended: </w:t>
      </w:r>
      <w:r>
        <w:rPr>
          <w:rFonts w:ascii="Times New Roman;Times;Serif" w:hAnsi="Times New Roman;Times;Serif"/>
          <w:b/>
          <w:i w:val="false"/>
          <w:caps w:val="false"/>
          <w:smallCaps w:val="false"/>
          <w:sz w:val="20"/>
          <w:u w:val="single"/>
        </w:rPr>
        <w:t>June 30, 2026</w:t>
      </w:r>
    </w:p>
    <w:p>
      <w:pPr>
        <w:pStyle w:val="TextBody"/>
        <w:bidi w:val="0"/>
        <w:spacing w:before="0" w:after="0"/>
        <w:ind w:left="0" w:right="0" w:hanging="0"/>
        <w:jc w:val="left"/>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75"/>
        <w:gridCol w:w="230"/>
        <w:gridCol w:w="26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Transition Report on Form 10-K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Transition Report on Form 20-F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Transition Report on Form 11-K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Transition Report on Form 10-Q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Ended: 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form shall be construed to imply that the Commission has verified any information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notification relates to a portion of the filing checked above, identify the item(s) to which the notification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 REGISTRANT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Sports Entertainment Gaming Global Corporation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Name of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5049 Edwards Ranch Rd, 4</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 (</w:t>
      </w:r>
      <w:r>
        <w:rPr>
          <w:rFonts w:ascii="Times New Roman;Times;Serif" w:hAnsi="Times New Roman;Times;Serif"/>
          <w:b w:val="false"/>
          <w:i/>
          <w:caps w:val="false"/>
          <w:smallCaps w:val="false"/>
          <w:sz w:val="20"/>
        </w:rPr>
        <w:t>Street and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Fort Worth, Texas 76109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State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 RULES 12b-25(b) AND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subject report could not be filed without unreasonable effort or expense and the registrant seeks relief pursuant to Rule 12b-25(b), the following should be completed. (Check box if appropriate).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left w:val="single" w:sz="8" w:space="0" w:color="000000"/>
            </w:tcBorders>
            <w:tcMar>
              <w:lef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1" w:type="dxa"/>
            <w:tcBorders/>
            <w:vAlign w:val="center"/>
          </w:tcPr>
          <w:p>
            <w:pPr>
              <w:pStyle w:val="TableContents"/>
              <w:bidi w:val="0"/>
              <w:spacing w:before="0" w:after="283"/>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reason described in reasonable detail in Part III of this form could not be eliminated without unreasonable effort or expense;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left w:val="single" w:sz="8" w:space="0" w:color="000000"/>
            </w:tcBorders>
            <w:tcMar>
              <w:lef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1" w:type="dxa"/>
            <w:tcBorders/>
            <w:vAlign w:val="center"/>
          </w:tcPr>
          <w:p>
            <w:pPr>
              <w:pStyle w:val="TableContents"/>
              <w:bidi w:val="0"/>
              <w:spacing w:before="0" w:after="283"/>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left w:val="single" w:sz="8" w:space="0" w:color="000000"/>
            </w:tcBorders>
            <w:tcMar>
              <w:lef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accountant’s statement or other exhibit required by Rule 12b-25(c) has been attached if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 NARRATIVE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below in reasonable detail why Forms 10-K, 20-F, 11-K, 10-Q, 10-D, N-CEN, N-CSR or the transition report portion thereof, could not be filed within the prescribed time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Sports Entertainment Gaming Global Corporation (the “Company”) is unable to file its Quarterly Report on Form 10-Q for the period ended June 30, 2026 within the prescribed time period without unreasonable effort and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working diligently to complete the Form 10-Q and currently expects to file the Form 10-Q within the five-calendar-day extension period permitted under Rule 12b-25.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IV —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telephone number of person to contact in regard to this notification:</w:t>
      </w:r>
    </w:p>
    <w:p>
      <w:pPr>
        <w:pStyle w:val="TextBody"/>
        <w:bidi w:val="0"/>
        <w:spacing w:before="0" w:after="283"/>
        <w:jc w:val="left"/>
        <w:rPr/>
      </w:pPr>
      <w:r>
        <w:rPr/>
        <w:t> </w:t>
      </w:r>
    </w:p>
    <w:tbl>
      <w:tblPr>
        <w:tblW w:w="4590" w:type="dxa"/>
        <w:jc w:val="left"/>
        <w:tblInd w:w="0" w:type="dxa"/>
        <w:tblLayout w:type="fixed"/>
        <w:tblCellMar>
          <w:top w:w="0" w:type="dxa"/>
          <w:left w:w="0" w:type="dxa"/>
          <w:bottom w:w="28" w:type="dxa"/>
          <w:right w:w="0" w:type="dxa"/>
        </w:tblCellMar>
      </w:tblPr>
      <w:tblGrid>
        <w:gridCol w:w="1805"/>
        <w:gridCol w:w="60"/>
        <w:gridCol w:w="950"/>
        <w:gridCol w:w="60"/>
        <w:gridCol w:w="1715"/>
      </w:tblGrid>
      <w:tr>
        <w:trPr/>
        <w:tc>
          <w:tcPr>
            <w:tcW w:w="180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J. Stubblefield</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5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(737)</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787-3798</w:t>
            </w:r>
          </w:p>
        </w:tc>
      </w:tr>
      <w:tr>
        <w:trPr/>
        <w:tc>
          <w:tcPr>
            <w:tcW w:w="18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(Area code)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 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delinquent filing is Form 10-Q for the period ended March 31,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Is it anticipated that any significant change in results of operations from the corresponding period for the last fiscal year will be reflected by the earnings statements to be included in the subject report or portion thereof?</w:t>
      </w:r>
    </w:p>
    <w:p>
      <w:pPr>
        <w:pStyle w:val="TextBody"/>
        <w:bidi w:val="0"/>
        <w:spacing w:before="0" w:after="0"/>
        <w:ind w:left="2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attach an explanation of the anticipated change, both narratively and quantitatively, and, if appropriate, state the reasons why a reasonable estimate of the results cannot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12b-25 includes “forward-looking statements” within the meaning of the Private Securities Litigation Reform Act of 1995, including the Company’s ability to file the June 30, 2026 Quarterly Report on Form 10-Q during the extension period. Such forward-looking statements are based on assumptions about many important factors, which could cause actual results to differ materially from those in the forward-looking statements, including those risks identified in the Company’s most recent Form 10-K and Form 10-Q and other SEC filings. Unless otherwise required by applicable law, the Company assumes no obligation to update any forward-looking statements, and expressly disclaims any obligation to do so,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Sports Entertainment Gaming Global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caused this notification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470" w:type="dxa"/>
        <w:jc w:val="left"/>
        <w:tblInd w:w="0" w:type="dxa"/>
        <w:tblLayout w:type="fixed"/>
        <w:tblCellMar>
          <w:top w:w="0" w:type="dxa"/>
          <w:left w:w="0" w:type="dxa"/>
          <w:bottom w:w="0" w:type="dxa"/>
          <w:right w:w="0" w:type="dxa"/>
        </w:tblCellMar>
      </w:tblPr>
      <w:tblGrid>
        <w:gridCol w:w="1865"/>
        <w:gridCol w:w="545"/>
        <w:gridCol w:w="2060"/>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17,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J. Stubblefield</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J. Stubblefield</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739</Words>
  <Characters>3944</Characters>
  <CharactersWithSpaces>4685</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