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k.htm"/>
      <w:bookmarkStart w:id="1" w:name="ksform10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50101__20"/>
      <w:bookmarkEnd w:id="2"/>
      <w:r>
        <w:rPr>
          <w:rFonts w:ascii="Times New Roman;Times;Serif" w:hAnsi="Times New Roman;Times;Serif"/>
          <w:b/>
          <w:i w:val="false"/>
          <w:caps w:val="false"/>
          <w:smallCaps w:val="false"/>
          <w:sz w:val="36"/>
        </w:rPr>
        <w:t>10-K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jc w:val="center"/>
        <w:rPr>
          <w:caps w:val="false"/>
          <w:smallCaps w:val="false"/>
        </w:rPr>
      </w:pPr>
      <w:bookmarkStart w:id="3" w:name="xdx_900_edei--DocumentAnnualReport_c2025"/>
      <w:bookmarkEnd w:id="3"/>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2_edei--CurrentFiscalYearEndDate_c"/>
      <w:bookmarkStart w:id="5" w:name="xdx_90F_edei--DocumentPeriodEndDate_c202"/>
      <w:bookmarkEnd w:id="4"/>
      <w:bookmarkEnd w:id="5"/>
      <w:r>
        <w:rPr>
          <w:rFonts w:ascii="Times New Roman;Times;Serif" w:hAnsi="Times New Roman;Times;Serif"/>
          <w:b/>
          <w:i w:val="false"/>
          <w:caps w:val="false"/>
          <w:smallCaps w:val="false"/>
          <w:sz w:val="20"/>
        </w:rPr>
        <w:t xml:space="preserve">December 31, </w:t>
      </w:r>
      <w:bookmarkStart w:id="6" w:name="xdx_90A_edei--DocumentFiscalYearFocus_c2"/>
      <w:bookmarkEnd w:id="6"/>
      <w:r>
        <w:rPr>
          <w:rFonts w:ascii="Times New Roman;Times;Serif" w:hAnsi="Times New Roman;Times;Serif"/>
          <w:b/>
          <w:i w:val="false"/>
          <w:caps w:val="false"/>
          <w:smallCaps w:val="false"/>
          <w:sz w:val="20"/>
        </w:rPr>
        <w:t>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7" w:name="xdx_90C_edei--DocumentTransitionReport_c"/>
      <w:bookmarkEnd w:id="7"/>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___________________ to 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8" w:name="xdx_902_edei--EntityFileNumber_c20250101"/>
      <w:bookmarkEnd w:id="8"/>
      <w:r>
        <w:rPr>
          <w:rFonts w:ascii="Times New Roman;Times;Serif" w:hAnsi="Times New Roman;Times;Serif"/>
          <w:b/>
          <w:i w:val="false"/>
          <w:caps w:val="false"/>
          <w:smallCaps w:val="false"/>
          <w:sz w:val="20"/>
        </w:rPr>
        <w:t>001-38508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9" w:name="xdx_901_edei--EntityRegistrantName_c2025"/>
      <w:bookmarkEnd w:id="9"/>
      <w:r>
        <w:rPr>
          <w:rFonts w:ascii="Times New Roman;Times;Serif" w:hAnsi="Times New Roman;Times;Serif"/>
          <w:b/>
          <w:i w:val="false"/>
          <w:caps w:val="false"/>
          <w:smallCaps w:val="false"/>
          <w:sz w:val="36"/>
        </w:rPr>
        <w:t>SPORTS ENTERTAINMENT GAMING GLOBAL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250" w:type="dxa"/>
        <w:jc w:val="left"/>
        <w:tblInd w:w="0" w:type="dxa"/>
        <w:tblLayout w:type="fixed"/>
        <w:tblCellMar>
          <w:top w:w="0" w:type="dxa"/>
          <w:left w:w="0" w:type="dxa"/>
          <w:bottom w:w="28" w:type="dxa"/>
          <w:right w:w="0" w:type="dxa"/>
        </w:tblCellMar>
      </w:tblPr>
      <w:tblGrid>
        <w:gridCol w:w="4625"/>
        <w:gridCol w:w="60"/>
        <w:gridCol w:w="1565"/>
      </w:tblGrid>
      <w:tr>
        <w:trPr/>
        <w:tc>
          <w:tcPr>
            <w:tcW w:w="46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D_edei--EntityIncorporationStateCo"/>
            <w:bookmarkEnd w:id="10"/>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B_edei--EntityTaxIdentificationNum"/>
            <w:bookmarkEnd w:id="11"/>
            <w:r>
              <w:rPr>
                <w:rFonts w:ascii="Times New Roman;Times;Serif" w:hAnsi="Times New Roman;Times;Serif"/>
                <w:b/>
                <w:i w:val="false"/>
                <w:caps w:val="false"/>
                <w:smallCaps w:val="false"/>
                <w:sz w:val="20"/>
              </w:rPr>
              <w:t>81-1996183</w:t>
            </w:r>
          </w:p>
        </w:tc>
      </w:tr>
      <w:tr>
        <w:trPr/>
        <w:tc>
          <w:tcPr>
            <w:tcW w:w="462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462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46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6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 w:name="xdx_90D_edei--EntityAddressAddressLine1_"/>
            <w:bookmarkEnd w:id="12"/>
            <w:r>
              <w:rPr>
                <w:rFonts w:ascii="Times New Roman;Times;Serif" w:hAnsi="Times New Roman;Times;Serif"/>
                <w:b/>
                <w:i w:val="false"/>
                <w:caps w:val="false"/>
                <w:smallCaps w:val="false"/>
                <w:sz w:val="20"/>
              </w:rPr>
              <w:t xml:space="preserve">5049 Edwards Ranch Road, </w:t>
            </w:r>
            <w:bookmarkStart w:id="13" w:name="xdx_900_edei--EntityAddressAddressLine2_"/>
            <w:bookmarkEnd w:id="13"/>
            <w:r>
              <w:rPr>
                <w:rFonts w:ascii="Times New Roman;Times;Serif" w:hAnsi="Times New Roman;Times;Serif"/>
                <w:b/>
                <w:i w:val="false"/>
                <w:caps w:val="false"/>
                <w:smallCaps w:val="false"/>
                <w:sz w:val="20"/>
              </w:rPr>
              <w:t>4</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 </w:t>
            </w:r>
            <w:bookmarkStart w:id="14" w:name="xdx_90E_edei--EntityAddressCityOrTown_c2"/>
            <w:bookmarkEnd w:id="14"/>
            <w:r>
              <w:rPr>
                <w:rFonts w:ascii="Times New Roman;Times;Serif" w:hAnsi="Times New Roman;Times;Serif"/>
                <w:b/>
                <w:i w:val="false"/>
                <w:caps w:val="false"/>
                <w:smallCaps w:val="false"/>
                <w:sz w:val="20"/>
              </w:rPr>
              <w:t xml:space="preserve">Fort Worth, </w:t>
            </w:r>
            <w:bookmarkStart w:id="15" w:name="xdx_908_edei--EntityAddressStateOrProvin"/>
            <w:bookmarkEnd w:id="15"/>
            <w:r>
              <w:rPr>
                <w:rFonts w:ascii="Times New Roman;Times;Serif" w:hAnsi="Times New Roman;Times;Serif"/>
                <w:b/>
                <w:i w:val="false"/>
                <w:caps w:val="false"/>
                <w:smallCaps w:val="false"/>
                <w:sz w:val="20"/>
              </w:rPr>
              <w:t>TX</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6" w:name="xdx_900_edei--EntityAddressPostalZipCode"/>
            <w:bookmarkEnd w:id="16"/>
            <w:r>
              <w:rPr>
                <w:rFonts w:ascii="Times New Roman;Times;Serif" w:hAnsi="Times New Roman;Times;Serif"/>
                <w:b/>
                <w:i w:val="false"/>
                <w:caps w:val="false"/>
                <w:smallCaps w:val="false"/>
                <w:sz w:val="20"/>
              </w:rPr>
              <w:t>76109</w:t>
            </w:r>
          </w:p>
        </w:tc>
      </w:tr>
      <w:tr>
        <w:trPr/>
        <w:tc>
          <w:tcPr>
            <w:tcW w:w="462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7" w:name="xdx_902_edei--CityAreaCode_c20250101__20"/>
      <w:bookmarkEnd w:id="17"/>
      <w:r>
        <w:rPr>
          <w:rFonts w:ascii="Times New Roman;Times;Serif" w:hAnsi="Times New Roman;Times;Serif"/>
          <w:b/>
          <w:i w:val="false"/>
          <w:caps w:val="false"/>
          <w:smallCaps w:val="false"/>
          <w:sz w:val="20"/>
        </w:rPr>
        <w:t xml:space="preserve">(737) </w:t>
      </w:r>
      <w:bookmarkStart w:id="18" w:name="xdx_90E_edei--LocalPhoneNumber_c20250101"/>
      <w:bookmarkEnd w:id="18"/>
      <w:r>
        <w:rPr>
          <w:rFonts w:ascii="Times New Roman;Times;Serif" w:hAnsi="Times New Roman;Times;Serif"/>
          <w:b/>
          <w:i w:val="false"/>
          <w:caps w:val="false"/>
          <w:smallCaps w:val="false"/>
          <w:sz w:val="20"/>
        </w:rPr>
        <w:t>587-3391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9"/>
        <w:gridCol w:w="60"/>
        <w:gridCol w:w="1401"/>
        <w:gridCol w:w="60"/>
        <w:gridCol w:w="3045"/>
      </w:tblGrid>
      <w:tr>
        <w:trPr/>
        <w:tc>
          <w:tcPr>
            <w:tcW w:w="563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0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0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A_edei--Security12bTitle_c20250101"/>
            <w:bookmarkEnd w:id="19"/>
            <w:r>
              <w:rPr>
                <w:rFonts w:ascii="Times New Roman;Times;Serif" w:hAnsi="Times New Roman;Times;Serif"/>
                <w:b w:val="false"/>
                <w:i w:val="false"/>
                <w:caps w:val="false"/>
                <w:smallCaps w:val="false"/>
                <w:sz w:val="20"/>
              </w:rPr>
              <w:t>Common stock, par value $0.001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9_edei--TradingSymbol_c20250101__2"/>
            <w:bookmarkEnd w:id="20"/>
            <w:r>
              <w:rPr>
                <w:rFonts w:ascii="Times New Roman;Times;Serif" w:hAnsi="Times New Roman;Times;Serif"/>
                <w:b w:val="false"/>
                <w:i w:val="false"/>
                <w:caps w:val="false"/>
                <w:smallCaps w:val="false"/>
                <w:sz w:val="20"/>
              </w:rPr>
              <w:t>SEGG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5_edei--SecurityExchangeName_c2025"/>
            <w:bookmarkEnd w:id="21"/>
            <w:r>
              <w:rPr>
                <w:rFonts w:ascii="Times New Roman;Times;Serif" w:hAnsi="Times New Roman;Times;Serif"/>
                <w:b w:val="false"/>
                <w:i w:val="false"/>
                <w:caps w:val="false"/>
                <w:smallCaps w:val="false"/>
                <w:sz w:val="20"/>
              </w:rPr>
              <w:t>Nasdaq Stock Market LLC</w:t>
            </w:r>
          </w:p>
        </w:tc>
      </w:tr>
      <w:tr>
        <w:trPr/>
        <w:tc>
          <w:tcPr>
            <w:tcW w:w="563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E_edei--Security12bTitle_c20250101"/>
            <w:bookmarkEnd w:id="22"/>
            <w:r>
              <w:rPr>
                <w:rFonts w:ascii="Times New Roman;Times;Serif" w:hAnsi="Times New Roman;Times;Serif"/>
                <w:b w:val="false"/>
                <w:i w:val="false"/>
                <w:caps w:val="false"/>
                <w:smallCaps w:val="false"/>
                <w:sz w:val="20"/>
              </w:rPr>
              <w:t>Warrants to purchase one share of common stock, each at an exercise price of $2,300.00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6_edei--TradingSymbol_c20250101__2"/>
            <w:bookmarkEnd w:id="23"/>
            <w:r>
              <w:rPr>
                <w:rFonts w:ascii="Times New Roman;Times;Serif" w:hAnsi="Times New Roman;Times;Serif"/>
                <w:b w:val="false"/>
                <w:i w:val="false"/>
                <w:caps w:val="false"/>
                <w:smallCaps w:val="false"/>
                <w:sz w:val="20"/>
              </w:rPr>
              <w:t>LTRYW</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4" w:name="xdx_908_edei--SecurityExchangeName_c2025"/>
            <w:bookmarkEnd w:id="24"/>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pursuant to Section 12(g)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25" w:name="xdx_90F_edei--EntityWellKnownSeasonedIss"/>
      <w:bookmarkEnd w:id="25"/>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15(d) of the Act. YES ☐ </w:t>
      </w:r>
      <w:bookmarkStart w:id="26" w:name="xdx_90E_edei--EntityVoluntaryFilers_c202"/>
      <w:bookmarkEnd w:id="26"/>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7" w:name="xdx_909_edei--EntityCurrentReportingStat"/>
      <w:bookmarkEnd w:id="27"/>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8" w:name="xdx_906_edei--EntityInteractiveDataCurre"/>
      <w:bookmarkEnd w:id="28"/>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240"/>
        <w:gridCol w:w="230"/>
        <w:gridCol w:w="2225"/>
        <w:gridCol w:w="245"/>
      </w:tblGrid>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9" w:name="xdx_903_edei--EntityFilerCategory_c20250"/>
            <w:bookmarkEnd w:id="29"/>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30" w:name="xdx_905_edei--EntitySmallBusiness_c20250"/>
            <w:bookmarkEnd w:id="30"/>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30" w:type="dxa"/>
            <w:tcBorders/>
            <w:vAlign w:val="center"/>
          </w:tcPr>
          <w:p>
            <w:pPr>
              <w:pStyle w:val="TableContents"/>
              <w:bidi w:val="0"/>
              <w:spacing w:before="0" w:after="283"/>
              <w:jc w:val="left"/>
              <w:rPr>
                <w:caps w:val="false"/>
                <w:smallCaps w:val="false"/>
              </w:rPr>
            </w:pPr>
            <w:bookmarkStart w:id="31" w:name="xdx_90B_edei--EntityEmergingGrowthCompan"/>
            <w:bookmarkEnd w:id="31"/>
            <w:r>
              <w:rPr>
                <w:caps w:val="false"/>
                <w:smallCaps w:val="false"/>
              </w:rPr>
              <w:t>☒</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32" w:name="xdx_905_edei--EntityExTransitionPeriod_c"/>
      <w:bookmarkEnd w:id="3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33" w:name="xdx_903_edei--IcfrAuditorAttestationFlag"/>
      <w:bookmarkEnd w:id="3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34" w:name="xdx_90D_edei--EntityShellCompany_dbF_c20"/>
      <w:bookmarkEnd w:id="3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35" w:name="xdx_90B_edei--DocumentFinStmtErrorCorrec"/>
      <w:bookmarkEnd w:id="3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voting and non-voting stock held by non-affiliates of the registrant as of December 31, 2025, the last business day of the registrant’s most recently completed fourth fiscal quarter, was approximately $</w:t>
      </w:r>
      <w:bookmarkStart w:id="36" w:name="xdx_907_edei--EntityPublicFloat_iI_pn5n6"/>
      <w:bookmarkEnd w:id="36"/>
      <w:r>
        <w:rPr>
          <w:rFonts w:ascii="Times New Roman;Times;Serif" w:hAnsi="Times New Roman;Times;Serif"/>
          <w:b w:val="false"/>
          <w:i w:val="false"/>
          <w:caps w:val="false"/>
          <w:smallCaps w:val="false"/>
          <w:sz w:val="20"/>
        </w:rPr>
        <w:t>5.2 million, calculated by using the closing price of the registrant’s common stock on such date on The Nasdaq Stock Market LLC of $0.73.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July 7 2026, there were </w:t>
      </w:r>
      <w:bookmarkStart w:id="37" w:name="xdx_90B_edei--EntityCommonStockSharesOut"/>
      <w:bookmarkEnd w:id="37"/>
      <w:r>
        <w:rPr>
          <w:rFonts w:ascii="Times New Roman;Times;Serif" w:hAnsi="Times New Roman;Times;Serif"/>
          <w:b w:val="false"/>
          <w:i w:val="false"/>
          <w:caps w:val="false"/>
          <w:smallCaps w:val="false"/>
          <w:sz w:val="20"/>
        </w:rPr>
        <w:t>22,816,406 shares of the registrant’s common stock, par value $</w:t>
      </w:r>
      <w:bookmarkStart w:id="38" w:name="xdx_90D_edei--EntityListingParValuePerSh"/>
      <w:bookmarkEnd w:id="38"/>
      <w:r>
        <w:rPr>
          <w:rFonts w:ascii="Times New Roman;Times;Serif" w:hAnsi="Times New Roman;Times;Serif"/>
          <w:b w:val="false"/>
          <w:i w:val="false"/>
          <w:caps w:val="false"/>
          <w:smallCaps w:val="false"/>
          <w:sz w:val="20"/>
        </w:rPr>
        <w:t>0.001 per share,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36" w:type="dxa"/>
        <w:jc w:val="left"/>
        <w:tblInd w:w="0" w:type="dxa"/>
        <w:tblLayout w:type="fixed"/>
        <w:tblCellMar>
          <w:top w:w="0" w:type="dxa"/>
          <w:left w:w="0" w:type="dxa"/>
          <w:bottom w:w="0" w:type="dxa"/>
          <w:right w:w="0" w:type="dxa"/>
        </w:tblCellMar>
      </w:tblPr>
      <w:tblGrid>
        <w:gridCol w:w="38"/>
        <w:gridCol w:w="23"/>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6"/>
        <w:gridCol w:w="677"/>
        <w:gridCol w:w="8325"/>
        <w:gridCol w:w="457"/>
      </w:tblGrid>
      <w:tr>
        <w:trPr/>
        <w:tc>
          <w:tcPr>
            <w:tcW w:w="746"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8325"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457" w:type="dxa"/>
            <w:tcBorders>
              <w:bottom w:val="single" w:sz="8" w:space="0" w:color="000000"/>
            </w:tcBorders>
            <w:shd w:fill="FFFFFF" w:val="clear"/>
            <w:tcMar>
              <w:bottom w:w="28" w:type="dxa"/>
            </w:tcMar>
            <w:vAlign w:val="center"/>
          </w:tcPr>
          <w:p>
            <w:pPr>
              <w:pStyle w:val="TableContents"/>
              <w:bidi w:val="0"/>
              <w:spacing w:lineRule="auto" w:line="276"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46" w:type="dxa"/>
            <w:tcBorders/>
            <w:shd w:fill="CCEEFF" w:val="clear"/>
            <w:vAlign w:val="center"/>
          </w:tcPr>
          <w:p>
            <w:pPr>
              <w:pStyle w:val="TableContents"/>
              <w:bidi w:val="0"/>
              <w:spacing w:lineRule="auto" w:line="276" w:before="0" w:after="283"/>
              <w:jc w:val="left"/>
              <w:rPr/>
            </w:pPr>
            <w:hyperlink w:anchor="a_001">
              <w:r>
                <w:rPr>
                  <w:rStyle w:val="InternetLink"/>
                  <w:rFonts w:ascii="Times New Roman;Times;Serif" w:hAnsi="Times New Roman;Times;Serif"/>
                  <w:b w:val="false"/>
                  <w:i w:val="false"/>
                  <w:caps w:val="false"/>
                  <w:smallCaps w:val="false"/>
                  <w:sz w:val="20"/>
                </w:rPr>
                <w:t>PART I</w:t>
              </w:r>
            </w:hyperlink>
          </w:p>
        </w:tc>
        <w:tc>
          <w:tcPr>
            <w:tcW w:w="677" w:type="dxa"/>
            <w:tcBorders/>
            <w:shd w:fill="CCEE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8325" w:type="dxa"/>
            <w:tcBorders/>
            <w:shd w:fill="CCEE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457" w:type="dxa"/>
            <w:tcBorders/>
            <w:shd w:fill="CCEE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46"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8325"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45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6" w:type="dxa"/>
            <w:tcBorders/>
            <w:shd w:fill="CCEE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325" w:type="dxa"/>
            <w:tcBorders/>
            <w:shd w:fill="CCEEFF" w:val="clear"/>
            <w:vAlign w:val="center"/>
          </w:tcPr>
          <w:p>
            <w:pPr>
              <w:pStyle w:val="TableContents"/>
              <w:bidi w:val="0"/>
              <w:spacing w:lineRule="auto" w:line="276" w:before="0" w:after="283"/>
              <w:jc w:val="left"/>
              <w:rPr/>
            </w:pPr>
            <w:hyperlink w:anchor="a_002">
              <w:r>
                <w:rPr>
                  <w:rStyle w:val="InternetLink"/>
                  <w:rFonts w:ascii="Times New Roman;Times;Serif" w:hAnsi="Times New Roman;Times;Serif"/>
                  <w:b w:val="false"/>
                  <w:i w:val="false"/>
                  <w:caps w:val="false"/>
                  <w:smallCaps w:val="false"/>
                  <w:sz w:val="20"/>
                </w:rPr>
                <w:t>Business.</w:t>
              </w:r>
            </w:hyperlink>
          </w:p>
        </w:tc>
        <w:tc>
          <w:tcPr>
            <w:tcW w:w="457" w:type="dxa"/>
            <w:tcBorders/>
            <w:shd w:fill="CCEE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46"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325" w:type="dxa"/>
            <w:tcBorders/>
            <w:shd w:fill="FFFFFF" w:val="clear"/>
            <w:vAlign w:val="center"/>
          </w:tcPr>
          <w:p>
            <w:pPr>
              <w:pStyle w:val="TableContents"/>
              <w:bidi w:val="0"/>
              <w:spacing w:lineRule="auto" w:line="276" w:before="0" w:after="283"/>
              <w:jc w:val="left"/>
              <w:rPr/>
            </w:pPr>
            <w:hyperlink w:anchor="a_003">
              <w:r>
                <w:rPr>
                  <w:rStyle w:val="InternetLink"/>
                  <w:rFonts w:ascii="Times New Roman;Times;Serif" w:hAnsi="Times New Roman;Times;Serif"/>
                  <w:b w:val="false"/>
                  <w:i w:val="false"/>
                  <w:caps w:val="false"/>
                  <w:smallCaps w:val="false"/>
                  <w:sz w:val="20"/>
                </w:rPr>
                <w:t>Risk Factors.</w:t>
              </w:r>
            </w:hyperlink>
          </w:p>
        </w:tc>
        <w:tc>
          <w:tcPr>
            <w:tcW w:w="457" w:type="dxa"/>
            <w:tcBorders/>
            <w:shd w:fill="FFFF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746" w:type="dxa"/>
            <w:tcBorders/>
            <w:shd w:fill="CCEE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1B.</w:t>
            </w:r>
          </w:p>
        </w:tc>
        <w:tc>
          <w:tcPr>
            <w:tcW w:w="8325" w:type="dxa"/>
            <w:tcBorders/>
            <w:shd w:fill="CCEEFF" w:val="clear"/>
            <w:vAlign w:val="center"/>
          </w:tcPr>
          <w:p>
            <w:pPr>
              <w:pStyle w:val="TableContents"/>
              <w:bidi w:val="0"/>
              <w:spacing w:lineRule="auto" w:line="276" w:before="0" w:after="283"/>
              <w:jc w:val="left"/>
              <w:rPr/>
            </w:pPr>
            <w:hyperlink w:anchor="a_004">
              <w:r>
                <w:rPr>
                  <w:rStyle w:val="InternetLink"/>
                  <w:rFonts w:ascii="Times New Roman;Times;Serif" w:hAnsi="Times New Roman;Times;Serif"/>
                  <w:b w:val="false"/>
                  <w:i w:val="false"/>
                  <w:caps w:val="false"/>
                  <w:smallCaps w:val="false"/>
                  <w:sz w:val="20"/>
                </w:rPr>
                <w:t>Unresolved Staff Comments.</w:t>
              </w:r>
            </w:hyperlink>
          </w:p>
        </w:tc>
        <w:tc>
          <w:tcPr>
            <w:tcW w:w="457" w:type="dxa"/>
            <w:tcBorders/>
            <w:shd w:fill="CCEE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46"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1C</w:t>
            </w:r>
          </w:p>
        </w:tc>
        <w:tc>
          <w:tcPr>
            <w:tcW w:w="8325" w:type="dxa"/>
            <w:tcBorders/>
            <w:shd w:fill="FFFFFF" w:val="clear"/>
            <w:vAlign w:val="center"/>
          </w:tcPr>
          <w:p>
            <w:pPr>
              <w:pStyle w:val="TableContents"/>
              <w:bidi w:val="0"/>
              <w:spacing w:lineRule="auto" w:line="276" w:before="0" w:after="283"/>
              <w:jc w:val="left"/>
              <w:rPr/>
            </w:pPr>
            <w:hyperlink w:anchor="JA_001">
              <w:r>
                <w:rPr>
                  <w:rStyle w:val="InternetLink"/>
                  <w:rFonts w:ascii="Times New Roman;Times;Serif" w:hAnsi="Times New Roman;Times;Serif"/>
                  <w:b w:val="false"/>
                  <w:i w:val="false"/>
                  <w:caps w:val="false"/>
                  <w:smallCaps w:val="false"/>
                  <w:sz w:val="20"/>
                </w:rPr>
                <w:t>Cybersecurity</w:t>
              </w:r>
            </w:hyperlink>
          </w:p>
        </w:tc>
        <w:tc>
          <w:tcPr>
            <w:tcW w:w="457" w:type="dxa"/>
            <w:tcBorders/>
            <w:shd w:fill="FFFF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46" w:type="dxa"/>
            <w:tcBorders/>
            <w:shd w:fill="CCEE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325" w:type="dxa"/>
            <w:tcBorders/>
            <w:shd w:fill="CCEEFF" w:val="clear"/>
            <w:vAlign w:val="center"/>
          </w:tcPr>
          <w:p>
            <w:pPr>
              <w:pStyle w:val="TableContents"/>
              <w:bidi w:val="0"/>
              <w:spacing w:lineRule="auto" w:line="276" w:before="0" w:after="283"/>
              <w:jc w:val="left"/>
              <w:rPr/>
            </w:pPr>
            <w:hyperlink w:anchor="a_005">
              <w:r>
                <w:rPr>
                  <w:rStyle w:val="InternetLink"/>
                  <w:rFonts w:ascii="Times New Roman;Times;Serif" w:hAnsi="Times New Roman;Times;Serif"/>
                  <w:b w:val="false"/>
                  <w:i w:val="false"/>
                  <w:caps w:val="false"/>
                  <w:smallCaps w:val="false"/>
                  <w:sz w:val="20"/>
                </w:rPr>
                <w:t>Properties.</w:t>
              </w:r>
            </w:hyperlink>
          </w:p>
        </w:tc>
        <w:tc>
          <w:tcPr>
            <w:tcW w:w="457" w:type="dxa"/>
            <w:tcBorders/>
            <w:shd w:fill="CCEE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46"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325" w:type="dxa"/>
            <w:tcBorders/>
            <w:shd w:fill="FFFFFF" w:val="clear"/>
            <w:vAlign w:val="center"/>
          </w:tcPr>
          <w:p>
            <w:pPr>
              <w:pStyle w:val="TableContents"/>
              <w:bidi w:val="0"/>
              <w:spacing w:lineRule="auto" w:line="276" w:before="0" w:after="283"/>
              <w:jc w:val="left"/>
              <w:rPr/>
            </w:pPr>
            <w:hyperlink w:anchor="a_006">
              <w:r>
                <w:rPr>
                  <w:rStyle w:val="InternetLink"/>
                  <w:rFonts w:ascii="Times New Roman;Times;Serif" w:hAnsi="Times New Roman;Times;Serif"/>
                  <w:b w:val="false"/>
                  <w:i w:val="false"/>
                  <w:caps w:val="false"/>
                  <w:smallCaps w:val="false"/>
                  <w:sz w:val="20"/>
                </w:rPr>
                <w:t>Legal Proceedings.</w:t>
              </w:r>
            </w:hyperlink>
          </w:p>
        </w:tc>
        <w:tc>
          <w:tcPr>
            <w:tcW w:w="457" w:type="dxa"/>
            <w:tcBorders/>
            <w:shd w:fill="FFFF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46" w:type="dxa"/>
            <w:tcBorders/>
            <w:shd w:fill="CCEE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325" w:type="dxa"/>
            <w:tcBorders/>
            <w:shd w:fill="CCEEFF" w:val="clear"/>
            <w:vAlign w:val="center"/>
          </w:tcPr>
          <w:p>
            <w:pPr>
              <w:pStyle w:val="TableContents"/>
              <w:bidi w:val="0"/>
              <w:spacing w:lineRule="auto" w:line="276" w:before="0" w:after="283"/>
              <w:jc w:val="left"/>
              <w:rPr/>
            </w:pPr>
            <w:hyperlink w:anchor="a_007">
              <w:r>
                <w:rPr>
                  <w:rStyle w:val="InternetLink"/>
                  <w:rFonts w:ascii="Times New Roman;Times;Serif" w:hAnsi="Times New Roman;Times;Serif"/>
                  <w:b w:val="false"/>
                  <w:i w:val="false"/>
                  <w:caps w:val="false"/>
                  <w:smallCaps w:val="false"/>
                  <w:sz w:val="20"/>
                </w:rPr>
                <w:t>Mine Safety Disclosures.</w:t>
              </w:r>
            </w:hyperlink>
          </w:p>
        </w:tc>
        <w:tc>
          <w:tcPr>
            <w:tcW w:w="457" w:type="dxa"/>
            <w:tcBorders/>
            <w:shd w:fill="CCEE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46"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8325"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45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6" w:type="dxa"/>
            <w:tcBorders/>
            <w:shd w:fill="CCEEFF" w:val="clear"/>
            <w:vAlign w:val="center"/>
          </w:tcPr>
          <w:p>
            <w:pPr>
              <w:pStyle w:val="TableContents"/>
              <w:bidi w:val="0"/>
              <w:spacing w:lineRule="auto" w:line="276" w:before="0" w:after="283"/>
              <w:jc w:val="left"/>
              <w:rPr/>
            </w:pPr>
            <w:hyperlink w:anchor="a_008">
              <w:r>
                <w:rPr>
                  <w:rStyle w:val="InternetLink"/>
                  <w:rFonts w:ascii="Times New Roman;Times;Serif" w:hAnsi="Times New Roman;Times;Serif"/>
                  <w:b w:val="false"/>
                  <w:i w:val="false"/>
                  <w:caps w:val="false"/>
                  <w:smallCaps w:val="false"/>
                  <w:sz w:val="20"/>
                </w:rPr>
                <w:t>PART II</w:t>
              </w:r>
            </w:hyperlink>
          </w:p>
        </w:tc>
        <w:tc>
          <w:tcPr>
            <w:tcW w:w="677" w:type="dxa"/>
            <w:tcBorders/>
            <w:shd w:fill="CCEE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8325" w:type="dxa"/>
            <w:tcBorders/>
            <w:shd w:fill="CCEE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457" w:type="dxa"/>
            <w:tcBorders/>
            <w:shd w:fill="CCEE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746"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8325"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45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6" w:type="dxa"/>
            <w:tcBorders/>
            <w:shd w:fill="CCEE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325" w:type="dxa"/>
            <w:tcBorders/>
            <w:shd w:fill="CCEEFF" w:val="clear"/>
            <w:vAlign w:val="center"/>
          </w:tcPr>
          <w:p>
            <w:pPr>
              <w:pStyle w:val="TableContents"/>
              <w:bidi w:val="0"/>
              <w:spacing w:lineRule="auto" w:line="276" w:before="0" w:after="283"/>
              <w:jc w:val="left"/>
              <w:rPr/>
            </w:pPr>
            <w:hyperlink w:anchor="a_009">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457" w:type="dxa"/>
            <w:tcBorders/>
            <w:shd w:fill="CCEE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746"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325" w:type="dxa"/>
            <w:tcBorders/>
            <w:shd w:fill="FFFFFF" w:val="clear"/>
            <w:vAlign w:val="center"/>
          </w:tcPr>
          <w:p>
            <w:pPr>
              <w:pStyle w:val="TableContents"/>
              <w:bidi w:val="0"/>
              <w:spacing w:lineRule="auto" w:line="276" w:before="0" w:after="283"/>
              <w:jc w:val="left"/>
              <w:rPr/>
            </w:pPr>
            <w:hyperlink w:anchor="SL_01">
              <w:r>
                <w:rPr>
                  <w:rStyle w:val="InternetLink"/>
                  <w:rFonts w:ascii="Times New Roman;Times;Serif" w:hAnsi="Times New Roman;Times;Serif"/>
                  <w:b w:val="false"/>
                  <w:i w:val="false"/>
                  <w:caps w:val="false"/>
                  <w:smallCaps w:val="false"/>
                  <w:sz w:val="20"/>
                </w:rPr>
                <w:t>[Reserved].</w:t>
              </w:r>
            </w:hyperlink>
          </w:p>
        </w:tc>
        <w:tc>
          <w:tcPr>
            <w:tcW w:w="45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746" w:type="dxa"/>
            <w:tcBorders/>
            <w:shd w:fill="CCEE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8325" w:type="dxa"/>
            <w:tcBorders/>
            <w:shd w:fill="CCEEFF" w:val="clear"/>
            <w:vAlign w:val="center"/>
          </w:tcPr>
          <w:p>
            <w:pPr>
              <w:pStyle w:val="TableContents"/>
              <w:bidi w:val="0"/>
              <w:spacing w:lineRule="auto" w:line="276" w:before="0" w:after="283"/>
              <w:jc w:val="left"/>
              <w:rPr/>
            </w:pPr>
            <w:hyperlink w:anchor="SL_0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7" w:type="dxa"/>
            <w:tcBorders/>
            <w:shd w:fill="CCEE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46"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7A.</w:t>
            </w:r>
          </w:p>
        </w:tc>
        <w:tc>
          <w:tcPr>
            <w:tcW w:w="8325" w:type="dxa"/>
            <w:tcBorders/>
            <w:shd w:fill="FFFFFF" w:val="clear"/>
            <w:vAlign w:val="center"/>
          </w:tcPr>
          <w:p>
            <w:pPr>
              <w:pStyle w:val="TableContents"/>
              <w:bidi w:val="0"/>
              <w:spacing w:lineRule="auto" w:line="276" w:before="0" w:after="283"/>
              <w:jc w:val="left"/>
              <w:rPr/>
            </w:pPr>
            <w:hyperlink w:anchor="a_010">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7" w:type="dxa"/>
            <w:tcBorders/>
            <w:shd w:fill="FFFF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746" w:type="dxa"/>
            <w:tcBorders/>
            <w:shd w:fill="CCEE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8325" w:type="dxa"/>
            <w:tcBorders/>
            <w:shd w:fill="CCEEFF" w:val="clear"/>
            <w:vAlign w:val="center"/>
          </w:tcPr>
          <w:p>
            <w:pPr>
              <w:pStyle w:val="TableContents"/>
              <w:bidi w:val="0"/>
              <w:spacing w:lineRule="auto" w:line="276" w:before="0" w:after="283"/>
              <w:jc w:val="left"/>
              <w:rPr/>
            </w:pPr>
            <w:hyperlink w:anchor="a_011">
              <w:r>
                <w:rPr>
                  <w:rStyle w:val="InternetLink"/>
                  <w:rFonts w:ascii="Times New Roman;Times;Serif" w:hAnsi="Times New Roman;Times;Serif"/>
                  <w:b w:val="false"/>
                  <w:i w:val="false"/>
                  <w:caps w:val="false"/>
                  <w:smallCaps w:val="false"/>
                  <w:sz w:val="20"/>
                </w:rPr>
                <w:t>Financial Statements and Supplementary Data.</w:t>
              </w:r>
            </w:hyperlink>
          </w:p>
        </w:tc>
        <w:tc>
          <w:tcPr>
            <w:tcW w:w="457" w:type="dxa"/>
            <w:tcBorders/>
            <w:shd w:fill="CCEE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746"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8325" w:type="dxa"/>
            <w:tcBorders/>
            <w:shd w:fill="FFFFFF" w:val="clear"/>
            <w:vAlign w:val="center"/>
          </w:tcPr>
          <w:p>
            <w:pPr>
              <w:pStyle w:val="TableContents"/>
              <w:bidi w:val="0"/>
              <w:spacing w:lineRule="auto" w:line="276" w:before="0" w:after="283"/>
              <w:jc w:val="left"/>
              <w:rPr/>
            </w:pPr>
            <w:hyperlink w:anchor="sk_001">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457" w:type="dxa"/>
            <w:tcBorders/>
            <w:shd w:fill="FFFF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746" w:type="dxa"/>
            <w:tcBorders/>
            <w:shd w:fill="CCEE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9A.</w:t>
            </w:r>
          </w:p>
        </w:tc>
        <w:tc>
          <w:tcPr>
            <w:tcW w:w="8325" w:type="dxa"/>
            <w:tcBorders/>
            <w:shd w:fill="CCEEFF" w:val="clear"/>
            <w:vAlign w:val="center"/>
          </w:tcPr>
          <w:p>
            <w:pPr>
              <w:pStyle w:val="TableContents"/>
              <w:bidi w:val="0"/>
              <w:spacing w:lineRule="auto" w:line="276" w:before="0" w:after="283"/>
              <w:jc w:val="left"/>
              <w:rPr/>
            </w:pPr>
            <w:hyperlink w:anchor="sk_002">
              <w:r>
                <w:rPr>
                  <w:rStyle w:val="InternetLink"/>
                  <w:rFonts w:ascii="Times New Roman;Times;Serif" w:hAnsi="Times New Roman;Times;Serif"/>
                  <w:b w:val="false"/>
                  <w:i w:val="false"/>
                  <w:caps w:val="false"/>
                  <w:smallCaps w:val="false"/>
                  <w:sz w:val="20"/>
                </w:rPr>
                <w:t>Controls and Procedures.</w:t>
              </w:r>
            </w:hyperlink>
          </w:p>
        </w:tc>
        <w:tc>
          <w:tcPr>
            <w:tcW w:w="457" w:type="dxa"/>
            <w:tcBorders/>
            <w:shd w:fill="CCEE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746"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9B.</w:t>
            </w:r>
          </w:p>
        </w:tc>
        <w:tc>
          <w:tcPr>
            <w:tcW w:w="8325" w:type="dxa"/>
            <w:tcBorders/>
            <w:shd w:fill="FFFFFF" w:val="clear"/>
            <w:vAlign w:val="center"/>
          </w:tcPr>
          <w:p>
            <w:pPr>
              <w:pStyle w:val="TableContents"/>
              <w:bidi w:val="0"/>
              <w:spacing w:lineRule="auto" w:line="276" w:before="0" w:after="283"/>
              <w:jc w:val="left"/>
              <w:rPr/>
            </w:pPr>
            <w:hyperlink w:anchor="sk_003">
              <w:r>
                <w:rPr>
                  <w:rStyle w:val="InternetLink"/>
                  <w:rFonts w:ascii="Times New Roman;Times;Serif" w:hAnsi="Times New Roman;Times;Serif"/>
                  <w:b w:val="false"/>
                  <w:i w:val="false"/>
                  <w:caps w:val="false"/>
                  <w:smallCaps w:val="false"/>
                  <w:sz w:val="20"/>
                </w:rPr>
                <w:t>Other Information.</w:t>
              </w:r>
            </w:hyperlink>
          </w:p>
        </w:tc>
        <w:tc>
          <w:tcPr>
            <w:tcW w:w="457" w:type="dxa"/>
            <w:tcBorders/>
            <w:shd w:fill="FFFF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746" w:type="dxa"/>
            <w:tcBorders/>
            <w:shd w:fill="CCEE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9C.</w:t>
            </w:r>
          </w:p>
        </w:tc>
        <w:tc>
          <w:tcPr>
            <w:tcW w:w="8325" w:type="dxa"/>
            <w:tcBorders/>
            <w:shd w:fill="CCEEFF" w:val="clear"/>
            <w:vAlign w:val="center"/>
          </w:tcPr>
          <w:p>
            <w:pPr>
              <w:pStyle w:val="TableContents"/>
              <w:bidi w:val="0"/>
              <w:spacing w:lineRule="auto" w:line="276" w:before="0" w:after="283"/>
              <w:jc w:val="left"/>
              <w:rPr/>
            </w:pPr>
            <w:hyperlink w:anchor="sk_004">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457" w:type="dxa"/>
            <w:tcBorders/>
            <w:shd w:fill="CCEE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746"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8325"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45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6" w:type="dxa"/>
            <w:tcBorders/>
            <w:shd w:fill="CCEEFF" w:val="clear"/>
            <w:vAlign w:val="center"/>
          </w:tcPr>
          <w:p>
            <w:pPr>
              <w:pStyle w:val="TableContents"/>
              <w:bidi w:val="0"/>
              <w:spacing w:lineRule="auto" w:line="276" w:before="0" w:after="283"/>
              <w:jc w:val="left"/>
              <w:rPr/>
            </w:pPr>
            <w:hyperlink w:anchor="sk_005">
              <w:r>
                <w:rPr>
                  <w:rStyle w:val="InternetLink"/>
                  <w:rFonts w:ascii="Times New Roman;Times;Serif" w:hAnsi="Times New Roman;Times;Serif"/>
                  <w:b w:val="false"/>
                  <w:i w:val="false"/>
                  <w:caps w:val="false"/>
                  <w:smallCaps w:val="false"/>
                  <w:sz w:val="20"/>
                </w:rPr>
                <w:t>PART III</w:t>
              </w:r>
            </w:hyperlink>
          </w:p>
        </w:tc>
        <w:tc>
          <w:tcPr>
            <w:tcW w:w="677" w:type="dxa"/>
            <w:tcBorders/>
            <w:shd w:fill="CCEE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8325" w:type="dxa"/>
            <w:tcBorders/>
            <w:shd w:fill="CCEE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457" w:type="dxa"/>
            <w:tcBorders/>
            <w:shd w:fill="CCEE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746"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8325"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45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6" w:type="dxa"/>
            <w:tcBorders/>
            <w:shd w:fill="CCEE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8325" w:type="dxa"/>
            <w:tcBorders/>
            <w:shd w:fill="CCEEFF" w:val="clear"/>
            <w:vAlign w:val="center"/>
          </w:tcPr>
          <w:p>
            <w:pPr>
              <w:pStyle w:val="TableContents"/>
              <w:bidi w:val="0"/>
              <w:spacing w:lineRule="auto" w:line="276" w:before="0" w:after="283"/>
              <w:jc w:val="left"/>
              <w:rPr/>
            </w:pPr>
            <w:hyperlink w:anchor="sk_006">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457" w:type="dxa"/>
            <w:tcBorders/>
            <w:shd w:fill="CCEE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746"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8325" w:type="dxa"/>
            <w:tcBorders/>
            <w:shd w:fill="FFFFFF" w:val="clear"/>
            <w:vAlign w:val="center"/>
          </w:tcPr>
          <w:p>
            <w:pPr>
              <w:pStyle w:val="TableContents"/>
              <w:bidi w:val="0"/>
              <w:spacing w:lineRule="auto" w:line="276" w:before="0" w:after="283"/>
              <w:jc w:val="left"/>
              <w:rPr/>
            </w:pPr>
            <w:hyperlink w:anchor="sk_007">
              <w:r>
                <w:rPr>
                  <w:rStyle w:val="InternetLink"/>
                  <w:rFonts w:ascii="Times New Roman;Times;Serif" w:hAnsi="Times New Roman;Times;Serif"/>
                  <w:b w:val="false"/>
                  <w:i w:val="false"/>
                  <w:caps w:val="false"/>
                  <w:smallCaps w:val="false"/>
                  <w:sz w:val="20"/>
                </w:rPr>
                <w:t>Executive Compensation.</w:t>
              </w:r>
            </w:hyperlink>
          </w:p>
        </w:tc>
        <w:tc>
          <w:tcPr>
            <w:tcW w:w="457" w:type="dxa"/>
            <w:tcBorders/>
            <w:shd w:fill="FFFF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746" w:type="dxa"/>
            <w:tcBorders/>
            <w:shd w:fill="CCEE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8325" w:type="dxa"/>
            <w:tcBorders/>
            <w:shd w:fill="CCEEFF" w:val="clear"/>
            <w:vAlign w:val="center"/>
          </w:tcPr>
          <w:p>
            <w:pPr>
              <w:pStyle w:val="TableContents"/>
              <w:bidi w:val="0"/>
              <w:spacing w:lineRule="auto" w:line="276" w:before="0" w:after="283"/>
              <w:jc w:val="left"/>
              <w:rPr/>
            </w:pPr>
            <w:hyperlink w:anchor="sk_008">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457" w:type="dxa"/>
            <w:tcBorders/>
            <w:shd w:fill="CCEE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746"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8325" w:type="dxa"/>
            <w:tcBorders/>
            <w:shd w:fill="FFFFFF" w:val="clear"/>
            <w:vAlign w:val="center"/>
          </w:tcPr>
          <w:p>
            <w:pPr>
              <w:pStyle w:val="TableContents"/>
              <w:bidi w:val="0"/>
              <w:spacing w:lineRule="auto" w:line="276" w:before="0" w:after="283"/>
              <w:jc w:val="left"/>
              <w:rPr/>
            </w:pPr>
            <w:hyperlink w:anchor="sk_009">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457" w:type="dxa"/>
            <w:tcBorders/>
            <w:shd w:fill="FFFF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746" w:type="dxa"/>
            <w:tcBorders/>
            <w:shd w:fill="CCEE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8325" w:type="dxa"/>
            <w:tcBorders/>
            <w:shd w:fill="CCEEFF" w:val="clear"/>
            <w:vAlign w:val="center"/>
          </w:tcPr>
          <w:p>
            <w:pPr>
              <w:pStyle w:val="TableContents"/>
              <w:bidi w:val="0"/>
              <w:spacing w:lineRule="auto" w:line="276" w:before="0" w:after="283"/>
              <w:jc w:val="left"/>
              <w:rPr/>
            </w:pPr>
            <w:hyperlink w:anchor="sk_010">
              <w:r>
                <w:rPr>
                  <w:rStyle w:val="InternetLink"/>
                  <w:rFonts w:ascii="Times New Roman;Times;Serif" w:hAnsi="Times New Roman;Times;Serif"/>
                  <w:b w:val="false"/>
                  <w:i w:val="false"/>
                  <w:caps w:val="false"/>
                  <w:smallCaps w:val="false"/>
                  <w:sz w:val="20"/>
                </w:rPr>
                <w:t>Principal Accounting Fees and Services.</w:t>
              </w:r>
            </w:hyperlink>
          </w:p>
        </w:tc>
        <w:tc>
          <w:tcPr>
            <w:tcW w:w="457" w:type="dxa"/>
            <w:tcBorders/>
            <w:shd w:fill="CCEE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746"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8325"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45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6" w:type="dxa"/>
            <w:tcBorders/>
            <w:shd w:fill="CCEEFF" w:val="clear"/>
            <w:vAlign w:val="center"/>
          </w:tcPr>
          <w:p>
            <w:pPr>
              <w:pStyle w:val="TableContents"/>
              <w:bidi w:val="0"/>
              <w:spacing w:lineRule="auto" w:line="276" w:before="0" w:after="283"/>
              <w:jc w:val="left"/>
              <w:rPr/>
            </w:pPr>
            <w:hyperlink w:anchor="sk_011">
              <w:r>
                <w:rPr>
                  <w:rStyle w:val="InternetLink"/>
                  <w:rFonts w:ascii="Times New Roman;Times;Serif" w:hAnsi="Times New Roman;Times;Serif"/>
                  <w:b w:val="false"/>
                  <w:i w:val="false"/>
                  <w:caps w:val="false"/>
                  <w:smallCaps w:val="false"/>
                  <w:sz w:val="20"/>
                </w:rPr>
                <w:t>PART IV</w:t>
              </w:r>
            </w:hyperlink>
          </w:p>
        </w:tc>
        <w:tc>
          <w:tcPr>
            <w:tcW w:w="677" w:type="dxa"/>
            <w:tcBorders/>
            <w:shd w:fill="CCEE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8325" w:type="dxa"/>
            <w:tcBorders/>
            <w:shd w:fill="CCEE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457" w:type="dxa"/>
            <w:tcBorders/>
            <w:shd w:fill="CCEE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746"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8325"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45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6" w:type="dxa"/>
            <w:tcBorders/>
            <w:shd w:fill="CCEE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8325" w:type="dxa"/>
            <w:tcBorders/>
            <w:shd w:fill="CCEEFF" w:val="clear"/>
            <w:vAlign w:val="center"/>
          </w:tcPr>
          <w:p>
            <w:pPr>
              <w:pStyle w:val="TableContents"/>
              <w:bidi w:val="0"/>
              <w:spacing w:lineRule="auto" w:line="276" w:before="0" w:after="283"/>
              <w:jc w:val="left"/>
              <w:rPr/>
            </w:pPr>
            <w:hyperlink w:anchor="sk_012">
              <w:r>
                <w:rPr>
                  <w:rStyle w:val="InternetLink"/>
                  <w:rFonts w:ascii="Times New Roman;Times;Serif" w:hAnsi="Times New Roman;Times;Serif"/>
                  <w:b w:val="false"/>
                  <w:i w:val="false"/>
                  <w:caps w:val="false"/>
                  <w:smallCaps w:val="false"/>
                  <w:sz w:val="20"/>
                </w:rPr>
                <w:t>Exhibits, Financial Statement Schedules.</w:t>
              </w:r>
            </w:hyperlink>
          </w:p>
        </w:tc>
        <w:tc>
          <w:tcPr>
            <w:tcW w:w="457" w:type="dxa"/>
            <w:tcBorders/>
            <w:shd w:fill="CCEE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746" w:type="dxa"/>
            <w:tcBorders/>
            <w:shd w:fill="FFFFFF" w:val="clear"/>
            <w:vAlign w:val="center"/>
          </w:tcPr>
          <w:p>
            <w:pPr>
              <w:pStyle w:val="TableContents"/>
              <w:bidi w:val="0"/>
              <w:spacing w:lineRule="auto" w:line="276"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w:t>
            </w:r>
          </w:p>
        </w:tc>
        <w:tc>
          <w:tcPr>
            <w:tcW w:w="8325" w:type="dxa"/>
            <w:tcBorders/>
            <w:shd w:fill="FFFFFF" w:val="clear"/>
            <w:vAlign w:val="center"/>
          </w:tcPr>
          <w:p>
            <w:pPr>
              <w:pStyle w:val="TableContents"/>
              <w:bidi w:val="0"/>
              <w:spacing w:lineRule="auto" w:line="276" w:before="0" w:after="283"/>
              <w:jc w:val="left"/>
              <w:rPr/>
            </w:pPr>
            <w:hyperlink w:anchor="sk_013">
              <w:r>
                <w:rPr>
                  <w:rStyle w:val="InternetLink"/>
                  <w:rFonts w:ascii="Times New Roman;Times;Serif" w:hAnsi="Times New Roman;Times;Serif"/>
                  <w:b w:val="false"/>
                  <w:i w:val="false"/>
                  <w:caps w:val="false"/>
                  <w:smallCaps w:val="false"/>
                  <w:sz w:val="20"/>
                </w:rPr>
                <w:t>Form 10-K Summary</w:t>
              </w:r>
            </w:hyperlink>
          </w:p>
        </w:tc>
        <w:tc>
          <w:tcPr>
            <w:tcW w:w="457" w:type="dxa"/>
            <w:tcBorders/>
            <w:shd w:fill="FFFFFF" w:val="clear"/>
            <w:vAlign w:val="center"/>
          </w:tcPr>
          <w:p>
            <w:pPr>
              <w:pStyle w:val="TableContents"/>
              <w:bidi w:val="0"/>
              <w:spacing w:lineRule="auto" w:line="276"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bl>
    <w:p>
      <w:pPr>
        <w:pStyle w:val="TextBody"/>
        <w:bidi w:val="0"/>
        <w:spacing w:before="0" w:after="0"/>
        <w:jc w:val="center"/>
        <w:rPr>
          <w:caps w:val="false"/>
          <w:smallCaps w:val="false"/>
        </w:rPr>
      </w:pPr>
      <w:r>
        <w:rPr>
          <w:caps w:val="false"/>
          <w:smallCaps w:val="false"/>
        </w:rPr>
        <w:t> </w:t>
      </w:r>
    </w:p>
    <w:tbl>
      <w:tblPr>
        <w:tblW w:w="193" w:type="dxa"/>
        <w:jc w:val="left"/>
        <w:tblInd w:w="0" w:type="dxa"/>
        <w:tblLayout w:type="fixed"/>
        <w:tblCellMar>
          <w:top w:w="0" w:type="dxa"/>
          <w:left w:w="0" w:type="dxa"/>
          <w:bottom w:w="0" w:type="dxa"/>
          <w:right w:w="0" w:type="dxa"/>
        </w:tblCellMar>
      </w:tblPr>
      <w:tblGrid>
        <w:gridCol w:w="38"/>
        <w:gridCol w:w="8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 AND RISK FACTOR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contains forward-looking statements within the meaning of Section 27A of the Securities Act of 1933, as amended (the “Securities Act”) and Section 21E of the Securities Exchange Act of 1934, as amended (the “Exchange Act”), including statements about the financial condition, results of operations, earnings outlook and prospects of Sports Entertainment Gaming Global Corporation (“SEGG Media”, “SEGG”, the “Company”, “we” or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appear in a number of places in this Annual Report, including, without limitation, under the headings in Part I, “</w:t>
      </w:r>
      <w:r>
        <w:rPr>
          <w:rFonts w:ascii="Times New Roman;Times;Serif" w:hAnsi="Times New Roman;Times;Serif"/>
          <w:b w:val="false"/>
          <w:i/>
          <w:caps w:val="false"/>
          <w:smallCaps w:val="false"/>
          <w:sz w:val="20"/>
        </w:rPr>
        <w:t>Item 1. Business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Item 1A. Risk Factors</w:t>
      </w:r>
      <w:r>
        <w:rPr>
          <w:rFonts w:ascii="Times New Roman;Times;Serif" w:hAnsi="Times New Roman;Times;Serif"/>
          <w:b w:val="false"/>
          <w:i w:val="false"/>
          <w:caps w:val="false"/>
          <w:smallCaps w:val="false"/>
          <w:sz w:val="20"/>
        </w:rPr>
        <w:t>,” and in Part II, “</w:t>
      </w:r>
      <w:r>
        <w:rPr>
          <w:rFonts w:ascii="Times New Roman;Times;Serif" w:hAnsi="Times New Roman;Times;Serif"/>
          <w:b w:val="false"/>
          <w:i/>
          <w:caps w:val="false"/>
          <w:smallCaps w:val="false"/>
          <w:sz w:val="20"/>
        </w:rPr>
        <w:t>Item 7. Management’s Discussion and Analysis of Financial Condition and Results of Operations.</w:t>
      </w:r>
      <w:r>
        <w:rPr>
          <w:rFonts w:ascii="Times New Roman;Times;Serif" w:hAnsi="Times New Roman;Times;Serif"/>
          <w:b w:val="false"/>
          <w:i w:val="false"/>
          <w:caps w:val="false"/>
          <w:smallCaps w:val="false"/>
          <w:sz w:val="20"/>
        </w:rPr>
        <w:t>” In addition, any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the current expectations of the management of SEGG Media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factors discussed and identified in public filings made with the Securities and Exchange Commission (the “SEC”) by SEGG Media, as well as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named as a defendant in a number of civil lawsuits filed by purchasers of our securities, that could have a material adverse impact on our business, financial condition, results of operation and cash flows, and our reputation.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the Company furloughed the majority of its employees and suspended its lottery game sales operations after determining that it did not have sufficient financial resources to fund operations or pay certain existing obligations, including payroll and related obligations.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need additional capital to, among other things, grow operations, add additional employees in key roles and pay our expenses. Such capital may not be available or may not be available on commercially acceptable terms, if at all. If we do not receive the additional capital, we may be forced to curtail or abandon our plans to expand operations and we may need to permanently cease our operations.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implement and maintain an effective system of internal controls, we may be unable to accurately report our results of operations, meet our reporting obligations or prevent fraud against the Company, and investor confidence and the trading price of our common stock and warrants may be materially and adversely affected.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compete for consumer discretionary time and income.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events, geopolitical and political and market conditions, and other factors beyond our control.</w:t>
            </w:r>
          </w:p>
        </w:tc>
      </w:tr>
    </w:tbl>
    <w:p>
      <w:pPr>
        <w:pStyle w:val="TextBody"/>
        <w:bidi w:val="0"/>
        <w:spacing w:before="0" w:after="0"/>
        <w:ind w:left="0" w:right="0" w:hanging="0"/>
        <w:jc w:val="left"/>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events or media coverage relating to our business, our management and directors, the lottery, lottery games or online gaming or betting.</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attract and retain customers, including as a result of failing to appear in Internet search engine results.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ability to use existing, and add new, domain names to promote and increase the value of our brands and key business segments.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Scrutiny by stakeholders with respect to responsible gaming and ethical conduct.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profitability and growth.</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profitably expand into new markets or capitalize on industry trends and changes, such as by developing successful new product offerings.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our marketing efforts in developing and maintaining our brands and reputation.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offer high-quality user support.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impacts to user relationships resulting from disruptions to our information technology.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vulnerability of our information systems to cyberattacks, including an inability to securely maintain personal and other proprietary user information.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adapt to changes or updates in the Internet, mobile or personal devices, or new technology platforms or network infrastructures.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comply with complex, ever-changing and multi-jurisdictional regulatory regimes and other legal requirements applicable to the gaming and lottery industries in the markets that we serve.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Geopolitical shifts and changes in applicable laws or regulations or the manner in which they are interpreted.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successfully expand geographically and acquire and integrate new operations.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third-party service providers to timely perform services or provide software component products for our platforms and product offerings and the processing of user payments and withdrawals on a timely basis.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maintain successful relationships or agreements with third-party marketing or service provider affiliates.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third-party service providers to protect, enforce, or defend intellectual property rights required to fulfill contractual obligations required for the operation of our business.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our transition and compliance with the regulatory and other requirements of being a public company.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in compliance with the continued listing standards of Nasdaq and we may not be able to regain compliance with Nasdaq’s continued listing standards in the future.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liquidity and trading of our securities in the public markets.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lenders (as defined herein) may not loan us the amounts they agreed to under loan agreements (as defined herein).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obligations under certain loan agreements are secured by a first priority security interest in substantially all of our assets and if we were to default, they could force us to curtail or abandon our business plans and operations.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and sale of common stock upon conversion of the amounts owed or upon exercise of the warrants issued to Woodford, UCIL, or investors placed by Univest (each as defined herein) under each’s respective loan agreements may depress the market price of our common stock and cause substantial dilution.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owe money under our loan agreements, which we may not be able to repay on each agreement’s terms and conditions.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described in this Report under the heading “</w:t>
            </w:r>
            <w:r>
              <w:rPr>
                <w:rFonts w:ascii="Times New Roman;Times;Serif" w:hAnsi="Times New Roman;Times;Serif"/>
                <w:b w:val="false"/>
                <w:i/>
                <w:caps w:val="false"/>
                <w:smallCaps w:val="false"/>
                <w:sz w:val="20"/>
              </w:rPr>
              <w:t>Item 1A. Risk Factors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described under the heading “</w:t>
      </w:r>
      <w:r>
        <w:rPr>
          <w:rFonts w:ascii="Times New Roman;Times;Serif" w:hAnsi="Times New Roman;Times;Serif"/>
          <w:b w:val="false"/>
          <w:i/>
          <w:caps w:val="false"/>
          <w:smallCaps w:val="false"/>
          <w:sz w:val="20"/>
        </w:rPr>
        <w:t>Item 1A. Risk Factors</w:t>
      </w:r>
      <w:r>
        <w:rPr>
          <w:rFonts w:ascii="Times New Roman;Times;Serif" w:hAnsi="Times New Roman;Times;Serif"/>
          <w:b w:val="false"/>
          <w:i w:val="false"/>
          <w:caps w:val="false"/>
          <w:smallCaps w:val="false"/>
          <w:sz w:val="20"/>
        </w:rPr>
        <w:t>” are not exhaustive. Other sections of this Report describe additional factors that could adversely affect the business, financial condition or results of operations of the Company.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SEGG Media or persons acting on its behalf are expressly qualified in their entirety by the foregoing cautionary statements. SEGG Media. undertakes no obligations to update or revise publicly any forward-looking statements, whether as a result of new information, future events or otherwise, except as required by law and regulation.</w:t>
      </w:r>
    </w:p>
    <w:p>
      <w:pPr>
        <w:pStyle w:val="TextBody"/>
        <w:bidi w:val="0"/>
        <w:spacing w:before="0" w:after="0"/>
        <w:ind w:left="0" w:right="0" w:hanging="0"/>
        <w:jc w:val="left"/>
        <w:rPr>
          <w:caps w:val="false"/>
          <w:smallCaps w:val="false"/>
        </w:rPr>
      </w:pPr>
      <w:r>
        <w:rPr>
          <w:caps w:val="false"/>
          <w:smallCaps w:val="false"/>
        </w:rPr>
        <w:t> </w:t>
      </w:r>
    </w:p>
    <w:tbl>
      <w:tblPr>
        <w:tblW w:w="313" w:type="dxa"/>
        <w:jc w:val="left"/>
        <w:tblInd w:w="0" w:type="dxa"/>
        <w:tblLayout w:type="fixed"/>
        <w:tblCellMar>
          <w:top w:w="0" w:type="dxa"/>
          <w:left w:w="0" w:type="dxa"/>
          <w:bottom w:w="0" w:type="dxa"/>
          <w:right w:w="0" w:type="dxa"/>
        </w:tblCellMar>
      </w:tblPr>
      <w:tblGrid>
        <w:gridCol w:w="38"/>
        <w:gridCol w:w="20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9" w:name="a_001"/>
      <w:bookmarkEnd w:id="39"/>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 w:name="a_002"/>
      <w:bookmarkEnd w:id="40"/>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Legacy Matters and Corporate Reset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formed as Trident Acquisition Corp., a Delaware corporation on March 17, 2016, for the purpose of effecting a merger, share exchange, asset acquisition, stock purchase, reorganization, recapitalization or other similar business combination with one or more businesses. On October 29, 2021, we consummated a business combination (the “Business Combination”) with AutoLotto, Inc. (“AutoLotto”). Following the closing of the Business Combination (the “Closing”) we changed our name from “Trident Acquisitions Corp.” to “Lottery.com Inc.” and the business of AutoLotto became our business. On January 27, 2026, the Company changed its name to Sports Entertainment Gaming Global Corporation (“SEGG Media.”). Unless the context requires otherwise, references to the “Company,” “we,” “us,” “our,” “Lottery.com”, “Lottery.com Inc.,” “SEGG,” and “SEGG Media” refer to Sports Entertainment Gaming Global Corporation and its consolidated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undertaken a comprehensive transformation to address historical operational, financial, and governance challenges (collectively, “Legacy Matters”) that primarily arose prior to mid-2022. These Legacy Matters materially impacted the Company’s business operations, financial condition, and capital structure. Since that time, management and the Board have executed a disciplined corporate reset designed to stabilize the business, strengthen governance, and reposition the Company for sustainable, revenue-driven growth.</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Decisive Actions to Address Historical Disruption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the Company experienced a significant disruption to its legacy operations, including the cessation of certain core business activities. This disruption resulted in a meaningful contraction in revenue and necessitated immediate action to preserve liquidity and stabilize the enterprise.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responded by implementing cost containment measures, rationalizing operations, and prioritizing capital allocation toward critical restructuring and compliance initiatives. These actions, while necessary, fundamentally reshaped the Company and created a clear inflection point from which the current strategy has emerged.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Legacy Revenue Model Concentration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Company’s revenue model was substantially concentrated in lottery ticket sales and related transactional services. Our legacy lottery platform was designed to enable users to remotely purchase legally authorized lottery games through licensed partners, while providing data analytics, affiliate marketing solutions and promotional tools to commercial clients. This single-line revenue dependence limited diversification and exposed the business to regulatory, operational, and market-specific risks inherent to the lottery ecosystem. The disruption to these operations in 2022 underscored the limitations of this model and highlighted the need for a more diversified and resilient revenue base. As part of the corporate reset, the Company expanded beyond lottery facilitation into broader sports and entertainment verticals, combining content creation, digital publishing, domain-based audience acquisition and interactive gaming technologies. This evolution reflects our strategy to leverage established brands, premium digital assets and media platforms to drive diversified revenue streams.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Strengthening Financial Reporting and Internal Controls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identified material weaknesses in its internal control over financial reporting during this period, including limitations in technical accounting resources, deficiencies in review and oversight processes, delays in financial reporting, and insufficient segregation of duties.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that time, the Company has taken targeted actions to enhance its control environment, including upgrading finance and accounting capabilities, implementing more robust review procedures, utilizing outside accounting and reporting resources, and improving financial reporting processes. These efforts are part of an ongoing remediation plan designed to align the Company’s internal controls with the expectations of a Nasdaq-listed public company and support reliable, timely financial reporting.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Governance Reset and Leadership Alignment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key component of the corporate reset has been the realignment of leadership and governance. The Company has refreshed its executive team and Board composition to enhance oversight, improve accountability, and bring in experience aligned with the Company’s evolving strategic focus.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governance reset reflects a deliberate shift toward execution-oriented leadership with experience in capital markets, operational restructuring, and strategic transactions. The current leadership team is focused on disciplined decision-making, capital efficiency, and delivering measurable results.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Resolution and Management of Legacy Legal and Regulatory Matters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addressed, and continues to manage, certain legal and regulatory matters arising from historical activities. These matters have required the allocation of financial and management resources; however, the Company has taken proactive steps to cooperate with regulatory authorities and implement enhanced compliance and oversight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these actions have materially strengthened the Company’s risk management framework and reduced exposure to similar issues going forward. Additional information is provided in “Item 3. Legal Proceedings” and in the notes to the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Rebuilding the Capital Base and Liquidity Profile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Legacy Matters had a significant impact on the Company’s liquidity and capital structure, necessitating a shift toward external financing to support operations and restructuring efforts. The Company has executed financing transactions involving both equity and debt securities to fund its transformation.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actions have been critical to stabilizing the business and positioning the Company to pursue growth opportunities. Management remains focused on optimizing the capital structure and deploying capital in a manner that is expected to generate attractive risk-adjusted returns.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Strategic Repositioning Toward Scalable, Revenue-Generating Platforms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corporate reset, the Company has repositioned its strategy toward building a diversified platform at the intersection of sports, entertainment, and gaming, with a clear emphasis on revenue generation and scalability.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elements of this repositioning include:</w:t>
      </w:r>
    </w:p>
    <w:p>
      <w:pPr>
        <w:pStyle w:val="TextBody"/>
        <w:bidi w:val="0"/>
        <w:spacing w:before="0" w:after="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Prioritizing acquisitions and partnerships with existing revenue streams and growth potential;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digital media, content, and audience monetization capabilities;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owned and controlled brands and platforms to drive engagement and commercial opportunities;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Pursuing international expansion opportunities in targeted markets.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strategy reflects a deliberate move away from early stage, capital-intensive or speculative initiatives toward initiatives with clearer pathways to monetization and value creation.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 Disciplined, Execution-Focused Operating Model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disciplined operating framework centered on capital allocation, execution, and accountability. Management prioritizes initiatives that are either supported by existing capital or expected to contribute meaningfully to near- or medium-term financial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approach is designed to balance growth with financial prudence and to ensure that the Company’s resources are deployed efficiently to maximize stockholder value.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Current Position and Path Forward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actions taken to address Legacy Matters have established a foundation for the Company’s next phase of growth. While the effects of these matters continue to influence the Company’s financial condition, the business has transitioned from stabilization to a strategic growth phase focused on execution.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focused on:</w:t>
      </w:r>
    </w:p>
    <w:p>
      <w:pPr>
        <w:pStyle w:val="TextBody"/>
        <w:bidi w:val="0"/>
        <w:spacing w:before="0" w:after="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170"/>
        <w:gridCol w:w="48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Scaling revenue-generating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Integrating and optimizing strategic acquisitions;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Strengthening the balance sheet;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 robust control and compliance environment.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combination of a refreshed leadership team, improved governance, and a clear strategic focus positions it to capitalize on opportunities within its target markets and deliver long-term value to stockholders.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and 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SEGG Media is a global sports, entertainment and gaming company operating at the intersection of digital content, fan engagement and regulated gaming. Originally founded in 2016 as a technology platform focused on facilitating lawful lottery participation and data services, the Company has evolved into a diversified media and interactive entertainment enterprise. Through strategic restructuring and expansion, SEGG Media is building an integrated ecosystem designed to connect fans to the games, events and experiences they care about in compliant, technology-enabled environments.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SEGG Media’s growth strategy includes acquiring and scaling revenue-generating assets in sports media, digital publishing, esports, fan communities and gaming technology. The Company has pursued majority and supermajority ownership positions in strategic targets to consolidate operations, expand global reach and create cross-platform monetization opportunities. Our portfolio approach is designed to integrate media distribution, sponsorship, advertising, data, subscription, licensing and regulated gaming revenue models under a unified brand architecture.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with a focus on regulatory compliance, corporate governance and scalable infrastructure appropriate for a publicly traded company. Our operations are subject to applicable federal, state and international laws governing gaming, promotional activities, advertising, data privacy and securities regulation. We are committed to maintaining transparent reporting practices, strong internal controls and aligning management incentives with long-term shareholder value creation.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SEGG Media’s mission is to build a globally recognized sports, entertainment and gaming platform that combines immersive content, innovative technology and responsible engagement. By leveraging strategic acquisitions, premium digital properties and experienced leadership, we seek to deliver sustainable growth, expand international market presence and create long-term value for our shareholders.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owns and operates three premium domain brands: Sports.com, Concerts.com, and Lottery.com representing the Company’s three operating focuses: Sports, Entertainment, and Gaming.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Sports.com is a next-generation global sports streaming and content platform designed to meet the evolving demands of digital audiences. Focused on delivering premium short-form video, curated articles, access to predictive markets and live event coverage, the platform combines mobile-first accessibility, AI-driven personalization, and community engagement to create a unified experience for fans worldwide.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launched with a sponsor-supported freemium model. Initial target markets include the United States, Latin America (LATAM), India, and the Gulf Cooperation Council (GCC) regions with fast-growing streaming adoption and underserved sports segments. The platform will also build strategic partnerships with regional sports leagues, influencers, and brands to accelerate content acquisition and market penetration.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will develop, produce and distribute compelling sports-focused films, docuseries, and premium digital content. This new arm of the business will serve as the cornerstone of the Company’s global expansion into entertainment media and immersive storytelling.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in development, Sports.com Predict will introduce prediction functionality directly into the Sports.com ecosystem, creating a high-margin, recurring revenue stream for SEGG Media. By embedding prediction markets at the heart of Sports.com, the Company expects to convert fan engagement into transactional activity, unlocking a scalable growth engine as the global prediction markets sector expands.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three wholly-owned subsidiaries to support the operations of the Sports-related activities: Sports.com Media Group Ltd, Sports.com Studios Ltd., and Sports Predicts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Entertainment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pursuing multiple revenue models in the entertainment vertical. Through TicketStub.com, the Company has a platform which allows it to generate revenue via direct-to-consumer ticket sales and through affiliate commissions with both first and second tier ticketing services. Concerts.com will focus on delivering free and subscription-based content related to the music industry. Features will include live and recorded concert streaming, music instruction, a licensed and fan-produced merchandise marketplace, and entertainment news.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majority owned subsidiary, DotCom Ventures, Inc., operates two brands to support the operations of entertainment related activities: TicketStub.com and Concerts.com.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Gaming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independent third-party lottery game service. It offers multiple gaming platforms to enable the remote purchase of legally sanctioned lottery and sweepstakes games in the U.S. and abroad (the “Platforms”). The Company’s revenue generating activities are focused on (i) offering the Platforms via apps and websites to users located in the U.S. and international jurisdictions where the sale of lottery and sweepstakes games is legal and our services are enabled for the remote purchase of legally sanctioned games (our “B2C Platform”); (ii) delivering global lottery data, such as winning numbers and results, and sports data, such as scores and statistics, to commercial digital subscribers and providing access to other proprietary, anonymized transaction data pursuant to multi-year contracts (“Data Service”); and (iii) transitioning Lottery.com into a high-authority, content-rich website that provides comprehensive information about lotteries, including results, analysis, comparisons, tools, and regulatory context and driving revenue through a Cost-per-Acquisition (CPA) or Revenue-Share model with third-party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provider of lottery products and services, the Company is required to comply with, and its business is subject to, regulation in each jurisdiction in which the Company offers the B2C Platform. In addition, it must also comply with the requirements of federal and other domestic and foreign regulatory bodies and governmental authorities in jurisdictions in which the Company operates or with authority over its business. The Company’s business is additionally subject to multiple other domestic and international laws, including those relating to the transmission of information, privacy, security, data retention, and other consumer focused laws, and, as such, may be impacted by changes in the interpretation of such laws.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New Member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2025, the Board of Directors of the Company approved the addition of Mr. Marc Bircham as a member of the Company’s Board of Directors (“Board”). Mr. Bircham was appointed as a Class II director with a term expiring at the Company’s 2027 annual meeting of stockholders or until his successor is duly elected and qualified. He was elected as Chairman of the Board on November 30, 2025.</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25, 2026, the Board appointed Robert Stubblefield and Daniel Bailey to serve as members of the Board. Mr. Stubblefield was appointed as a Class II director with a term expiring at the Company’s 2027 annual meeting of stockholders or until his successor is duly elected and qualified. Mr. Bailey was appointed as a Class III director with a term expiring at the Company’s 2028 annual meeting of stockholders or until his successor is duly elected and qualified.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 Acquisition- PlusEVO Ltd. and Spektrum Ltd.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2025, the Company entered into a Stock Purchase and Sale Agreement to acquire certain assets from PlusEVO Ltd. and to create a new entity, Spektrum Ltd, which will become a provider of technology supporting international lottery and gaming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for the acquisition was $1.5 million, payable in 50,000 shares of the Company’s restricted common stock at a fixed price of $30.00 per share. The shares are to be issued in five installments over a 30-month period following closing, subject to specified vesting and restriction terms. The agreement includes a price protection feature under which additional shares may be issued if the Company’s stock price is below the fixed price at certain measurement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acquisition is intended to support the Company’s international expansion strategy by providing ownership of a technology platform that can be leveraged to scale operations, enhance product offerings, and support entry into new regulated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 Acquisition-DotCom Ventures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completed the acquisition of 51% of DotCom Ventures Inc [“DVI”] from Concerts Inc. through a signed Share Purchase Agreement (SPA) executed on July 25, 2025. Valuation for DVI is $10 million. At closing, the Company made an in-kind payment of $5.1 million of common stock for 51,000 shares of DVI. The Agreement contains a Call Option, which provides the Company with the right to purchase up to the entire share capital of DVI as follows: (i) Ten Thousand (10,000) shares for One Million Dollars ($1,000,000.00) cash by not later than December 31, 2025; (ii) Fifteen Thousand (15,000) shares for One Million Five Hundred Thousand Dollars ($1,500,000.00) cash by not later than May 31, 2026; (iii) Five Thousand (5,000) shares for Five Hundred Thousand Dollars ($500,000.00) cash by not later than December 31, 2025; and (iv) Twenty Thousand (20,000) shares for Two Million Dollars ($2,000,000.00) in either shares or cash by not later than December 31, 2025 (the “Final Payment”). Unless extended by the parties in writing, portions of the Call Option will be revoked automatically upon the expiration of the funding deadlines set forth above without full payment of the corresponding funding obligation to DVI.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assets acquired include the domain names Concerts.com and Ticketstub.com along with social media accounts and trademarks associated with each and have been recorded as Intangible Assets in the Domain Name category. Amortization began during the third quarter of 2025. There are encumbrances against the domain names and all associated and ancillary assets for Secured Promissory Notes totaling $1,500,000 that were set to mature in December of 2025 but were subsequently modified. The Company must pay the Secured Notes to remove the encumbrances. Subsequent to the execution date of the SPA, the Company and certain Secured Notes holders amended the Secured Notes, extending the maturity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time of acquisition to the end of 2025 there was no substantive process where a set of inputs could be converted into a set of outputs and there was no workforce consisting of employees or organized contractors in place for converting acquired inputs into outputs. As a result, for the year ended December 31, 2025, the Company has accounted for this transaction as an acquisition of the intangible assets described above. The Company expects this transaction to change to controlling interest in the first quarter of 2026 when a workforce and substantive process will be in 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 Purchase Agreement with Galaxy Racer Holdings Limited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2025, the Company entered into an Asset Purchase Agreement (the “Agreement”) with Galaxy Racer Holdings Limited, a British Virgin Islands entity (“GXR”).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the Company agreed to acquire substantially all of the assets of GXR (the “Assets”), including the GXR platform and mobile application, underlying technology stack, user base, and associated licenses, for an aggregate purchase price of $10.0 million (the “Purchase Price”). The Purchase Price was structured to be satisfied through a combination of equity consideration in the form of restricted stock units and the transfer of a minority ownership interest in a newly formed subsidiary that would hold the acquired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2025, following a review of the Company’s strategic priorities, capital allocation framework, and evolving market conditions, the Company’s Board of Directors approved a decision to exit the Agreement. As a result, the Company did not complete the acquisition of the GXR Assets. No assets or results of operations related to GXR are included in the Company’s December 31, 2025 financial statements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Markets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Company accessed the capital markets through the filing of registration statements on Forms S-1 and S-3, providing flexibility to raise capital and facilitate liquidity for existing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11, 2025, the Company filed a Form S-1 registration statement to registering a number of shares in connection with a Stock Purchase Agreement executed by the company on November 21, 2024, (the “Agreement”) with Generating Alpha Ltd., a St. Kitts and Nevis company, (the “Investor”). The Investor has agreed to purchase from the Company up to One Hundred Million Dollars ($100,000,000) (the “Commitment Amount”) of the Company’s fully registered, freely tradable common stock (the “Common Stock”) under certain terms and conditions. Pursuant to the terms of the Agreement the Company can request a “Put” on the purchase of its stock and the Investor has agreed to purchase the Company’s shares at ninety (90%) percent of the “Market Price.” Market Price shall be defined as the average VWAP of the common stock twenty (20) trading days immediately preceding the Put (“Maximum Put Amount”). The dollar amount of Common Stock sold to the Investor in each Put may not be less than $20,000 and the maximum amount will equal 100% of the Average Daily Trading Volume. The Maximum Put Amount may be increased upon mutual written consent of the Company and the Investor. Puts are further limited to Investor owning no more than 4.99% of the Common Stock at any given time.</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also relates to the offer and resale from time to time by the selling shareholders named therein (the “Selling Shareholders”), or their permitted transferees of shares of common stock, consisting of (i) 2,810,897 shares of common stock (ii) 458,370 shares of common stock issuable upon exercise of outstanding warrants (iii) shares of common stock related to conversion of 1,906,693 prefunded common stock warrants (together the “Commitment Fee Warrant Shares”) and (iv) 512,662 issued to the Investor as a commitment fee (the “Commitment Fee Shares) upon the execution of a stock purchase agreement dated November 13, 2024 (the “Stock Purchase Agreement”).</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registered the resale of up to 25,688,622 shares of common stock, comprised of (i) 20,000,000 Stock Purchase Agreement Shares (as defined in the Form S-1)), (ii) 2,810,897 shares of common stock, (iii) 458,370 shares of common stock issuable upon exercise of outstanding warrants and (iii) 1,906,693 prefunded warrants (together the “Commitment Fee Warrant Shares”) and (iv) 512,662 shares of common stock issued to the Investor as a commitment fee (the “Commitment Fee Shares”) upon the execution of a stock purchase agreement dated November 13, 2024 (the “Stock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2025, the Company initially filed a registration statement on Form S-3, as subsequently amended (the “Form S-3”), with the SEC. The Form S-3 was declared effective by the SEC on November 26,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S-3 provides for a combined shelf registration and secondary resale offering, including: a primary shelf offering of up to $300,000,000 of the Company’s securities, which may include common stock, preferred stock, debt securities, warrants, rights, or units; and a secondary offering of up to 1,068,241 shares of common stock for resale by certain selling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registered under the Form S-3 may be offered from time to time in one or more transactions at fixed prices, prevailing market prices, or negotiated prices pursuant to Rule 415 under the Securities Act. The Company may receive proceeds from any securities it issues under the primary offering. The Company does not receive proceeds from the resale of shares by selling stockholders, except to the extent of any proceeds received upon the exercise of warrants which were not prefunded.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Purchase Agreement with Evergreen Capital Management, LLC</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2025, the Company entered into a Securities Purchase Agreement with Evergreen Capital Management, LLC (“Evergreen”), pursuant to which the Company issued a senior secured convertible promissory note with an aggregate principal amount of $2.875 million. The note included an original issue discount of $0.375 million, resulting in net proceeds of $2.5 million to the Company. Funding was structured in two tranches: an initial $0.5 million at closing and $2.0 million upon (i) the effectiveness of a registration statement covering the underlying shares and (ii) receipt of requisite shareholder approval in accordance with Nasdaq Listing Rule 5635. The transaction was completed as a private placement under Section 4(a)(2) of the Securities Act and Rule 506(b) of Regulation 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2026, the Company entered into a Termination Agreement with Evergreen pursuant to which the parties agreed to terminate the convertible promissory note and the related Securities Purchase Agreement. The termination became effective upon the issuance of shares of common stock pursuant to Conversion Notice #7, dated January 13, 2026. As a result, the note and the Securities Purchase Agreement are null and void and of no further force or effect, and no additional amounts are due or payable by either party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Purchase Agreement with Generating Alpha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reported on form 8-K on November 29, 2024, on November 21, 2024, a fully executed Stock Purchase Agreement (the “Agreement”) was entered into by and between the Company and Generating Alpha Ltd., a St. Kitts and Nevis company, (the “Investor”). The Investor has agreed to purchase from the Company up to One Hundred Million Dollars ($100,000,000) (the “Commitment Amount”) of the Company’s fully registered, freely tradable common stock (the “Common Stock”) under certain terms and conditions. Pursuant to the terms of the Agreement the Company can request a “Put” on the purchase of its stock and the Investor has agreed to purchase the Company’s shares at ninety (90%) percent of the “Market Price.” Market Price shall be defined as the average VWAP of the common stock twenty (20) trading days immediately preceding the Put (“Maximum Put Amount”). The dollar amount of Common Stock sold to the Investor in each Put may not be less than $20,000 and the maximum amount will equal 100% of the Average Daily Trading Volume. The Maximum Put Amount may be increased upon mutual written consent of the Company and the Investor. Puts are further limited to Investor owning no more than 4.99% of the Common Stock at any given time.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Agreement, the Company issued to the Investor a Commitment Fee in shares of the Company’s common stock equivalent to 1.5% of half of the Commitment Amount. After drawing down half of the Commitment Amount, the Company shall issue an additional 1.5% of half the Commitment Amount in shares of the Company’s common stock, not to exceed 4.99% of the Company’s issued and outstanding. Any amount that would exceed 4.99% of the Company’s issued and outstanding shall be issued in the form of a prefunded Common Stock Purchase Warrant.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reported on form 8-K on June 23, 2025, on June 16, 2025, a fully executed Amended Stock Purchase Agreement (the “Agreement”) by and between the Company and Generating Alpha Ltd., a St. Kitts and Nevis company, (the “Investor”) was entered into. The Investor has agreed to purchase from the Company up to Three Hundred Million Dollars ($300,000,000) (the “Commitment Amount”) of the Company’s fully registered, freely tradable common stock (the “Common Stock”) under certain terms and conditions. Pursuant to the terms of the Agreement the Company can request a “Put” on the purchase of its stock and the Investor has agreed to purchase the Company’s shares at ninety-four (94%) percent of the “Market Price.” Market Price shall be defined as the lowest VWAP of the common stock five (5) trading days after the Put (“Maximum Put Amount”) shares are delivered to Investor. The dollar amount of Common Stock sold to the Investor in each Put may not be less than $20,000.00 and the maximum amount will equal 100% of the Average Daily Trading Volume. The Maximum Put Amount may be increased upon mutual written consent of the Company and the Investor. Puts are further limited to Investor owning no more than 4.99% of the Common Stock at any given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execution of the Agreement, the Company issued to the Investor a Commitment Fee of 682,410 shares (68,241 shares of the Company’s common stock after the 10:1 reverse split effectuated on August 28, 2025) of the Company’s common stock in the form of a prefunded Common Stock Purchase Warrant. After the Company has received $100,000,000 of the Commitment Amount from Investor, for each subsequent tranche of $50,000,000, the Company shall issue an additional 1.5% of $50,000,000 in shares of the Company’s Common Stock in the form of a prefunded Common Stock Purchase Warrant. Calculation for the number of shares to be included in the prefunded Common Stock Purchase Warrant shall be based off of the volume weighted average price of stock on the Clearing Date of the last Put Notice. Payment may be withheld from the last Put Notice until the prefunded Common Stock Purchase Warrant has been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Annual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held its 2025 Annual Meeting of Stockholders on February 9, 2026. A quorum was present at the meeting. A proposal to amend the Company’s certificate of incorporation to change its name from “Lottery.com Inc.” to “Sports Entertainment Gaming Global Corporation” was withdrawn, as stockholder approval was not required under Delaware law. Stockholders approved the election of one Class III director to serve until the 2028 annual meeting of stockholders, ratified the appointment of the Company’s independent registered public accounting firm for the fiscal year ending December 31, 2025, approved the issuance of shares of common stock and warrants in excess of 20% of the Company’s outstanding common stock in accordance with applicable Nasdaq listing rules, approved amendments authorizing the Board of Directors to effect one or more forward and reverse stock splits within specified ranges, and approved, on an advisory basis, the adjournment of the Annual Meeting, if necessary, to solicit additional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Leadership Changes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30, 2025, the Board of Directors approved a leadership transition as part of the Company’s ongoing operational reset. Matthew McGahan was terminated from his roles as Chief Executive Officer, President, Secretary, and Chairman, effective immediately, and no longer serves in any executive or subsidiary capacities. He remained a member of the Board through the expiration of his current term which was the Annual Meeting of Shareholders held on February 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transition, the Board appointed Robert Stubblefield, the Company’s Chief Financial Officer since July 2023, as Secretary as well as Interim Chief Executive Officer and Interim President. Mr. Stubblefield also assumed oversight of the Company’s subsidiaries. His interim appointment is expected to continue through March 31, 2026, or until a permanent Chief Executive Officer is appointed.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Stubblefield brings significant public company financial and operational experience, including approximately 18 years in senior finance and operations roles and expertise in internal controls and Sarbanes-Oxley compliance. The Company have not finalized the terms of his separation, including customary matters relating to compensation, equity treatment, and other standard provisions. As of the date of this Report, no separation agreement has been finalized. The Company has not yet established compensation terms for Mr. Stubblefield’s expanded role, each of which is expected to be disclosed in a future filing.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trades on the Nasdaq Stock Exchange under the symbol, SEGG, and its warrants trade on the Nasdaq Stock Exchange under the symbol, LTRYW. The Company is not currently in compliance with Nasdaq listing standards. The Company has previously experienced periods of non-compliance, most frequently as a result of failure to satisfy Rule5250(c)(1) which requires timely filing of all required periodic financial reports with the SEC1. There can be no assurance that the Company will be able to meet its Nasdaq listing requirements and maintain its Nasdaq listings on a long-term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 Loan Agreement with Woodford Eurasia Assets,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7, 2022, the Company entered into a loan agreement with Woodford Eurasia Assets, Ltd. (“Woodford”), (the “Woodford Loan Agreement”), pursuant to which Woodford agreed to provide the Company with up to $52.5 million, subject to certain conditions and requirements. Pursuant to such Woodford Loan Agreement the Company received $798,351 by December 31, 2023. Woodford failed to meet its obligations under the Woodford Loan Agreement and the Company removed itself from any further obligation under Agreement or association with Woodford. Woodford subsequently filed a complaint in the High Court of Justice in London chancery Division. October 16, 2023, The High Court of Justice in London Chancery Division (“the Court”) dismissed an application for injunctive relief initiated by Woodford against the Company. (Case: FL-2023-000023. Woodford Eurasia Assets Limited v Lottery.com Inc.) The Court characterized Woodford’s application as “fundamentally misconceived” and ordered Woodford to pay the Company’s legal costs. Woodford subsequently, on the Judges’ recommendation, withdrew the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Woodford filed an additional action in the United States District Court for the District of Delaware on November 16, 2023 in Case No. 23-1317-GBW seeking a temporary restraining order, preliminary injunction and expedited discovery against Lottery.com and its directors. The Court entered an order the next day denying the relief sought by Woodford. On February 14, 2024, Woodford filed a Notice of Voluntary Dismissal Without Prejudice, which stated that Woodford provides notice of dismissal of all claims without prejudice against Defendants Lotttery.com and its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dismissal of this lawsuit by Woodford, no further action is required by Lottery.com or its directors at this time. The Company is determining its next course of action in resolving any further matters regarding Woodford.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advanced under the Woodford Loan Agreement are convertible, at Woodford’s option, into shares of the Company’s common stock, par value $0.001 per share (the “common stock”), beginning 60 days after the first loan date at the rate of 80% of the lowest publicly available price per share of common stock within 10 business days of the date of the Loan Agreement (which was equal to $56.00 per share after the 1:10 reverse split which occurred on August 29, 2025), subject to a 4.99% beneficial ownership limitation which can be waived on 60 day’s notice and a separate limitation preventing Woodford from holding more than 19.99% of the issued and outstanding common stock of the Company, without the Company obtaining shareholder approval for such issuance above this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of the loans could only be used by the Company to restart its operations and for general corporate purposes as agreed to by Woodford.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Woodford Loan Agreement includes confidentiality obligations, representations, warranties, covenants, and events of default, all of which are customary for a transaction of this size and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agreed to grant Woodford common stock purchase warrants (the “Woodford Warrants”) in an amount equal to 15% of the Company’s 50,925,271 then issued and outstanding shares of common stock (the quantity of stock then issued and outstanding prior to the 1:20 reverse stock split of August 9, 2023). Each Woodford Warrant has an exercise price equal to the average of the closing price of the Company’s common stock for each of the ten days prior to the first amount being debited from the bank account of Woodford, which currently equates to an exercise price of $56.00 per share following the 1:10 reverse stock split on August 29, 2025. In the event the Company fails to repay the amounts borrowed when due or Woodford fails to convert the amount owed into shares, the exercise price of the warrants may be offset by amounts owed to Woodford, and in such case, the exercise price of the warrants will be subject to a further 25% discount (i.e., will equal $42.00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entry into the Woodford Loan Agreement, the Company also entered into a Loan Agreement Deed, Debenture Deed and Securitization, with Woodford (the “Security Agreement”), which provides Woodford with a first floating charge security interest over all present and future assets of the Company in order to secure the repayment of amounts owed under the Woodford Loan Agreement.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2023, the Company entered into an amendment of the Woodford Loan Agreement with Woodford (the “Woodford Loan Agreement Amendment”), which provides that Woodford shall henceforth be able to convert, in whole or in part, the outstanding balance of its loan into the conversion shares at a conversion price that represents a further 25% discount to the original conversion price of 20%. The validity and application of the Woodford Loan Agreement Amendment is disputed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requests from the Company, Woodford has repeatedly amongst other things: failed to prove the amounts borrowed by the Company or claimed to have been advanced by Woodford to the Company; failed to indicate if it would accept accelerated payment of those verified amounts; failed to provide an anti-money laundering acceptable account to which payment could be made by the Company and failed to explain failure to respond to requests for other funding to be accepted in the context of the Woodford Loan Agreement; failed to respond to requests for funding under the accordion facility of the Woodford Loan Agreement; and failed to respond to allegations of money laundering and conspiracy to defraud the Company and the matter has been referred to the Company’s legal counsel.</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ongoing legal proceedings with Woodford can be found in the “Legal Proceedings” section of this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Facility with United Capital Investments London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2023, The Company entered into a credit facility (the “UCIL Credit Facility”), represented by a loan agreement, which was amended and restated on August 8, 2023, and subsequently amended on August 18, 2023 (as so amended, the “UCIL Loan Agreement”). The UCIL Loan Agreement is with United Capital Investments London Limited (“UCIL”), an entity in which each of Matthew McGahan, the Company’s then Chief Executive Officer and Chairman of the Company’s Board, and Barney Battles, a former member of the Board, have a direct or indirect interest. The decision by the Company to enter into the UCIL Loan Agreement followed, amongst other things, an acknowledgment by the Company that it had not received the requisite funding on a timely basis that it expected from Woodford, despite the Company making several requests to Woodford for said funding under the terms and conditions of the Woodford Loan Agreement. Moreover, the Board of Directors determined that it was in the best interest of the Company and its stockholders to enter into the UCIL Loan Agreement with UCIL, as an alternative lender to Woodford, upon receiving an event of default notice on July 21, 2023 (the “Default Notice”) and an event of default and crystallization notice on July 25, 2023 (the “Crystallization Notice”) from Woodford under the Woodford Loan Agreement. Neither McGahan or Battles participated in the vote on the UCIL agreement to ensure proper independence and correct corporate governance. On July 24, 2023, the Company responded to the Default Notice disputing that an event of default had occurred given the Company’s earlier announcement that UCIL had agreed to enter into a funding arrangement with the Company. On July 27, 2023, the Company replied to the Crystallization Notice denying that an event of default occurred or continued and further asserted that Woodford’s attempt for crystallization was inappropriate and unlawful under the terms and conditions of the Woodford Loan Agreement. Given the uncertainty of the continued financing under the Woodford Loan Agreement, the Board of Directors sought to secure and formalize the Company’s alternative funding by entering into the UCIL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reported on form 8-K filed with the SEC on February 22, 2024, on February 16, 2024, the Company and UCIL entered into an “Amendment and Restatement Agreement No. 2” to the UCIL Loan Agreement to increase the amount of the UCIL Credit Facility from $49,000,0000 to $149,000,000 (the “UCIL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2026, the Company terminated all financing agreements with UCIL.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Placement Agent Agreement with Univest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reported on form 8-K filed with the SEC on February 6, 2024, on December 6, 2023, the Company entered into a placement agent agreement (the “Placement Agent Agreement”) with Univest Securities, LLC (the “Placement Agent”), whereby the Placement Agent agreed to act as placement agent in connection with the Company’s offering (“Offering”) of units (“Units”) up to a total of $1,000,000; each Unit consisting of a convertible promissory note (each, a “Convertible Note” or collectively, the “Convertible Notes”), and a common stock purchase warrant (each, a “Warrant”, or collectively, the “Warrants”) in order for investors placed by it to purchase shares of common stock of the Company, par value $0.001 per share (the “Common Stock”). Each Unit under the Offering includes specific registration rights (“Registration Rights”), for each investor obtained through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2024, the parties agreed to increase the Offering amount from $1,000,000 to $5,000,000. All other terms and conditions of the Offering remain the same. The Securities shall be offered and sold pursuant to Section 4(a)(2) under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Data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we acquired TinBu, LLC (“TinBu”), a wholly owned subsidiary, which is a digital publisher and provider of syndicated data feeds including lottery results, jackpots, and other related data, as a wholly-owned subsidiary. Through TinBu, our Data Service delivers daily results of over 800 domestic and international lottery games from more than 40 countries, including the U.S., Canada, and the United Kingdom, to over 400 digital publishers and media organizations. See “</w:t>
      </w:r>
      <w:r>
        <w:rPr>
          <w:rFonts w:ascii="Times New Roman;Times;Serif" w:hAnsi="Times New Roman;Times;Serif"/>
          <w:b w:val="false"/>
          <w:i/>
          <w:caps w:val="false"/>
          <w:smallCaps w:val="false"/>
          <w:sz w:val="20"/>
        </w:rPr>
        <w:t>Item 1A. Risk Factors – We are party to pending litigation and investigations in various jurisdictions and with various plaintiffs and we may be subject to future litigation or investigations in the operation of our business. An adverse outcome in one or more proceedings could adversely affect our business, financial condition, and results of operations</w:t>
      </w:r>
      <w:r>
        <w:rPr>
          <w:rFonts w:ascii="Times New Roman;Times;Serif" w:hAnsi="Times New Roman;Times;Serif"/>
          <w:b w:val="false"/>
          <w:i w:val="false"/>
          <w:caps w:val="false"/>
          <w:smallCaps w:val="false"/>
          <w:sz w:val="20"/>
        </w:rPr>
        <w:t>”. (Also, see Item 3, “Legal Proceedings”, “TinBu Complaint”.)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technology pulls real time primary source data, and, in some instances, we acquire data from dedicated data feeds from the lottery authorities. Our data is constantly monitored to ensure accuracy and timely delivery. We are not required to obtain licenses or approvals from the lottery authorities to pull this primary source data or to acquire the data from such dedicated feeds. Commercial acquirers of our Data Service pay a subscription for access to the Data Service and, for acquisition of certain large data sets, an additional per record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additionally, at times, enter into multi-year contracts pursuant to which we sell proprietary, anonymized transaction data pursuant to multi-year agreements and in accordance with our Terms of Service in consideration of a fee and in other instances provide the Data Service within a bundle of provided services.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Aganar and JuegaLotto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2021, we acquired 100% of the equity of Global Gaming Enterprises, Inc., a Delaware corporation (“Global Gaming”), which holds 80% of the equity of each of Medios Electronicos y de Comunicacion, S.A.P.I de C.V. (“Aganar”) and JuegaLotto, S.A. de C.V. (“JuegaLotto”). JuegaLotto is federally licensed by the Mexican regulatory authorities with jurisdiction over the ability to commercialize lottery games in Mexico through an authorized federal gaming portal and to commercialize games of chance in other countries throughout Latin America. Aganar has been operating in the licensed Online Lottery market in Mexico since 2007 and has certain rights to sell Mexican National Lottery draw games, instant win tickets, and other games of chance online with access to a federally approved online casino and sportsbook gaming license and additionally issues a proprietary scratch lottery game in Mexico under the brand name Capalli. See “</w:t>
      </w:r>
      <w:r>
        <w:rPr>
          <w:rFonts w:ascii="Times New Roman;Times;Serif" w:hAnsi="Times New Roman;Times;Serif"/>
          <w:b w:val="false"/>
          <w:i/>
          <w:caps w:val="false"/>
          <w:smallCaps w:val="false"/>
          <w:sz w:val="20"/>
        </w:rPr>
        <w:t xml:space="preserve">Item 1A. Risk Factors – We need additional capital to, among other things, support and restart our operations, re-hire employees and pay our expenses. Such capital may not be available on commercially acceptable terms, if at all. If we do not receive the additional capital, we may be forced to curtail or abandon our plans to recommence our operations and we may need to permanently cease our operations” </w:t>
      </w:r>
      <w:r>
        <w:rPr>
          <w:rFonts w:ascii="Times New Roman;Times;Serif" w:hAnsi="Times New Roman;Times;Serif"/>
          <w:b w:val="false"/>
          <w:i w:val="false"/>
          <w:caps w:val="false"/>
          <w:smallCaps w:val="false"/>
          <w:sz w:val="20"/>
        </w:rPr>
        <w:t>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Sports.com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2021, we finalized the acquisition of the domain name </w:t>
      </w:r>
      <w:r>
        <w:rPr>
          <w:rFonts w:ascii="Times New Roman;Times;Serif" w:hAnsi="Times New Roman;Times;Serif"/>
          <w:b w:val="false"/>
          <w:i w:val="false"/>
          <w:caps w:val="false"/>
          <w:smallCaps w:val="false"/>
          <w:sz w:val="20"/>
          <w:u w:val="single"/>
        </w:rPr>
        <w:t>https://sports.com</w:t>
      </w:r>
      <w:r>
        <w:rPr>
          <w:rFonts w:ascii="Times New Roman;Times;Serif" w:hAnsi="Times New Roman;Times;Serif"/>
          <w:b w:val="false"/>
          <w:i w:val="false"/>
          <w:caps w:val="false"/>
          <w:smallCaps w:val="false"/>
          <w:sz w:val="20"/>
        </w:rPr>
        <w:t>. On March 26, 2025, the Company registered Sports.com as a fictious name in the state of Florida under AutoLotto, Inc. Content provided by Sports.com was available worldwide as a website and a mobile application. The website was relaunched in August 2025 and is currently being rebuilt to support the Company’s launch of Sports.com Predict.</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entered into a multi-year global partnership with Soccerex, the world’s leading soccer business event organizer. The Agreement makes Sports.com the title sponsor for six global events including Soccerex 2025 for MENA, Europe and USA which were held in Cairo, Amsterdam and Miami, respectively. In April 2026, the Company renewed the sponsorship for an additional two years.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collaboration provides the Company with an influential platform to engage with key stakeholders in the football industry, further solidifying Sports.com’s position at the intersection of sports, technology and entertainment. Working with the Soccerex team and its community presents an opportunity to build brand awareness internationally for the Company’s gaming, content and entertainment brands.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entered into sponsorship agreements with Louis Foster and Calum Ilott, drivers in the NTT IndyCar Series, and Sebastain Murray, a driver in the INDY NXT by Firestone series. The agreements provide the Company’s brands with exposure throughout the 2025 racing seasons with vehicle and attire logo placement and social media postings by the drivers.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2025, the Company appointed Tamer Hassan as president of Sports.com Studios, Ltd. In this role, Hassan will lead the division’s creative and strategic efforts to develop, produce and distribute compelling sports-focused films, docuseries, and premium digital content. This new arm of the business will serve as the cornerstone of Sports.com’s global expansion into entertainment media and immersive storytelling.</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2025, the Company appointed Tim Scoffham CEO of Sports.com Media Group, Ltd (“Sports.com Media”). In this role, Scoffham oversees the strategic integration and international expansion of Sports.com Media, a premium digital sports content and engagement platform. His leadership will focus on aligning commercial, media, and technology platforms, bolstering regulatory partnerships, and unlocking scalable, revenue-generating opportunities in high-growth markets.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17, 2025, the Company </w:t>
      </w:r>
      <w:r>
        <w:rPr>
          <w:rFonts w:ascii="Times New Roman;Times;Serif" w:hAnsi="Times New Roman;Times;Serif"/>
          <w:b w:val="false"/>
          <w:i w:val="false"/>
          <w:caps w:val="false"/>
          <w:smallCaps w:val="false"/>
          <w:sz w:val="20"/>
          <w:shd w:fill="FEFEFE" w:val="clear"/>
        </w:rPr>
        <w:t xml:space="preserve">entered into its first official football league partnership in the Indian subcontinent through a five-year commercial agreement with the Super League Kerala (“SLK”), valued at more than $11.6 million based on potential advertising and sponsorship revenue. </w:t>
      </w:r>
      <w:r>
        <w:rPr>
          <w:rFonts w:ascii="Times New Roman;Times;Serif" w:hAnsi="Times New Roman;Times;Serif"/>
          <w:b w:val="false"/>
          <w:i w:val="false"/>
          <w:caps w:val="false"/>
          <w:smallCaps w:val="false"/>
          <w:sz w:val="20"/>
        </w:rPr>
        <w:t>The agreement establishes SEGG Media and Sports.com as the exclusive global commercial and broadcast partner for SLK, encompassing: exclusive international streaming rights across all territories; integrated gaming and fan engagement products; global sponsorship and brand activation rights; and distribution focus across the Indian subcontinent and MENA, especially targeting the vast Keralite diaspora in the Middle East, North America, and Europe. The season concluded on December 19, 2025. During the 33 match season, SLK content reached more than 150 million views via the Sports.com website, app, and social channels.</w:t>
      </w:r>
    </w:p>
    <w:p>
      <w:pPr>
        <w:pStyle w:val="TextBody"/>
        <w:bidi w:val="0"/>
        <w:ind w:left="0" w:right="0" w:firstLine="63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firstLine="63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Sports.com Studios Ltd, entered into a revenue-driven co-production partnership with GOATS Entertainment (Greatest Of All Time) on August 7, 2025. This alliance will transform the legacies of the world’s greatest athletes into cash-generative content assets, combining premium docuseries, exclusive merchandise, global fan activations, and immersive storytelling. The collaboration is designed to drive high-margin revenue streams across OTT, e-commerce, experiential and licensing platforms.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 10, 2025, Sports.com Studios entered into a strategic global distribution partnership with the Døds Diving League (“DDL”), the official global platform for the world’s fastest-growing extreme sport. The partnership will be managed by Sports.com Studios Ltd, the newly launched sports content subsidiary of SEGG Media. The partnership will bring the thrill of Døds to millions of fans worldwide. Under the agreement, Sports.com Studios became a global distribution partner for DDL events, ensuring competitions and original content will be delivered through Sports.com platforms.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Sports.com content surpassed 102 million views across all platforms. The growth was driven by surging interest the Kerala Super League, and the Company’s accelerating global social-media presence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warrants are traded on The Nasdaq Stock Market LLC (“Nasdaq”) under the ticker symbols “SEGG” and “LTRYW,” respectively. As of the date of this Report, we are not in compliance with Nasdaq’s continued listing requirements (the “Listing Rules”) Additionally, under its new management, the Company continues to work to improve its disclosure and reporting controls and plans to continue improving its systems of internal control over financial reporting and invest in additional legal, accounting, and financial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when the Company has full operations in its sports, entertainment, and gaming verticals there can be no assurance that the Company will be able to maintain compliance with Nasdaq’s applicable Listing Rules. If the Company’s securities are delisted from Nasdaq, it could be more difficult to buy or sell the Company’s common stock and warrants or to obtain accurate quotations, and the price of the Company’s common stock and warrants could suffer a material decline. Delisting could also impair the Company’s ability to raise additional capital needed to fund its operations or trigger defaults and penalties under outstanding agreements or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have sufficient capital to support our operations and pay expenses, repay our debt, or that additional funds will be available on favorable terms, if at all. Future financing options available to the Company include equity financings, debt financings or other capital sources, including collaborations with other companies or other strategic transactions. Equity financings may include sales of common stock. Such financing may not be available on terms favorable to the Company or at all. The terms of any financing may adversely affect the holdings or rights of the Company’s stockholders and may cause significant dilution to existing stockholders. There can be no assurance that the Company will continue to be successful in obtaining sufficient funding on terms acceptable to the Company, if at all, which would have a material adverse effect on its business, financial condition and results of operations, and it could ultimately be forced to discontinue its operations and liquidate. These matters, when considered in the aggregate, raise substantial doubt about the Company’s ability to continue as a going concern for a reasonable period of time which is defined as within one year after the date that its current financial statements are issued. The accompanying financial statements do not contain any adjustments to reflect the possible future effects on the classification of assets or the amounts and classification of liabilities that might result from the outcome of this uncertainty. For more information, see the risk factors in Item 1A of this Report under the heading “Risks Relating to the Internal Investigation, Restatement of our Consolidated Financial Statements, Our Ability to Continue as a Going Concern, Our Internal Controls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and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variety of laws in the U.S. and abroad that affect our business, including federal, state and territorial laws regarding lotteries, gaming, sweepstakes, consumer protection, electronic marketing, data protection and privacy, competition, taxation, intellectual property, export, and national security, all of which are continuously evolving. The scope and interpretation of the laws that are or may be applicable to us are often evolving or new and uncertain and may conflict with each other, particularly those governing our international operations.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raising revenues for the particular country, state, or authorizing jurisdiction, lottery and gaming laws are generally based upon declarations of public policy designed to protect consumers from fraud and other misdeeds. To protect consumers, stringent laws and regulations have been established per jurisdiction to ensure that participants in the industry meet certain standards which may require participants to:</w:t>
      </w:r>
    </w:p>
    <w:p>
      <w:pPr>
        <w:pStyle w:val="TextBody"/>
        <w:bidi w:val="0"/>
        <w:spacing w:before="0" w:after="0"/>
        <w:ind w:left="0" w:right="0" w:hanging="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185"/>
        <w:gridCol w:w="893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ensure that games are conducted fairly and honestly;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8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procedures designed to prevent cheating and fraudulent practices;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8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and maintain anti-money laundering practices and procedures;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8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and maintain responsible accounting practices and procedures;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8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ensure that lottery games are sold only at the price and manner established by the applicable lottery regulator;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8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prizes awarded and withhold certain amounts for taxes and other specified liabilities;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8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periodic reports with regulators;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8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programs to promote responsible gaming and comply with other social responsibility practices;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8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enforce gaming participant minimum age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and federal laws in the U.S. govern and, in some cases, limit our business practices. For example, the Interstate Wagering Amendment to 18 U.S.C. § 1301 limits our ability to purchase lottery games for a user located in one state from a lottery authority located in another state, except under certain limited circumstances, such as where the lottery authorities in the respective states allow such sales. Therefore, when such offerings are operational, for our users located within the U.S., we only purchase lottery games for users who at the time are physically situated within the U.S. state or jurisdiction where the lottery game they are purchasing is being conducted, unless an exception were to be authorized by the applicable lottery authorities. For more information, see “</w:t>
      </w:r>
      <w:r>
        <w:rPr>
          <w:rFonts w:ascii="Times New Roman;Times;Serif" w:hAnsi="Times New Roman;Times;Serif"/>
          <w:b w:val="false"/>
          <w:i/>
          <w:caps w:val="false"/>
          <w:smallCaps w:val="false"/>
          <w:sz w:val="20"/>
        </w:rPr>
        <w:t>Item 1A. Risk Factors - Regulatory and Compliance Risks - If the Interstate Wagering Amendment is interpreted or applied to prohibit transmissions to foreign jurisdictions, it could have a negative impact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U.S Wire Act of 1961 provides that anyone engaged in the business of betting or wagering that knowingly uses a wire communication facility for the transmission in interstate or foreign commerce of bets or wagers or information assisting in the placing of bets or wagers on any sporting event or contest, or for the transmission of a wire communication that entitles the recipient to receive money or credit as a result of bets or wagers, or for information assisting in the placing of bets or wagers, may be fined or imprisoned, or both. The Wire Act provides, however, that it shall not be construed to prevent the transmission in interstate or foreign commerce of information for use in news reporting of sporting events or contests, or for the transmission of information assisting in the placing of bets or wagers on a sporting event or contest from a state or foreign country where betting on that sporting event or contest is legal into a state or foreign country in which such betting is legal. In late 2011, the Office of Legal Counsel (the “OLC”) in the U.S. Department of Justice (the “DOJ”) issued an opinion that concluded the conduct prohibited by the Wire Act was limited to sports gambling; however, in January 2019, the OLC issued a new opinion (the “2019 Opinion”) that concluded that the restrictions in the Wire Act on the transmission in interstate or foreign commerce of bets and wagers was not limited to sports gambling but applied to all bets and wagers, including those involving state lotteries. Reinterpretation of the federal Wire Act by the OLC threatened certain online lottery sales, leading to litigation in which the First Circuit Court of Appeals (the “First Circuit”) which determined that the Wire Act applies only to interstate wire communications related to sporting events or contests and not lottery games. Finding that the declaratory judgment was an adequate remedy at law, however, the First Circuit declined to set aside the 2019 Opinion under the Administrative Procedure Act. In addition to the First Circuit’s decision, the U.S. Circuit Court of Appeals for the Fifth Circuit (the “Fifth Circuit”) has previously held the Wire Act prohibitions apply only to sports gambling. Because many of the Company’s operations occur outside the jurisdictions of the First Circuit and Fifth Circuit, and because the First Circuit did not set aside the 2019 Opinion, we are still monitoring the potential impact of the 2019 Opinion on our business. For more information, see “</w:t>
      </w:r>
      <w:r>
        <w:rPr>
          <w:rFonts w:ascii="Times New Roman;Times;Serif" w:hAnsi="Times New Roman;Times;Serif"/>
          <w:b w:val="false"/>
          <w:i/>
          <w:caps w:val="false"/>
          <w:smallCaps w:val="false"/>
          <w:sz w:val="20"/>
        </w:rPr>
        <w:t>Item 1A. Risk Factors - Regulatory and Compliance Risks - If there is a final determination on the applicability of the Wire Act to our operations and it is determined or codified that the Wire Act extends to transmission of lottery games in interstate or foreign commerce, certain of our operations that are not currently restricted by statute or practice to a state’s territorial boundaries may be negatively impacted or eliminated, which may have a material adverse effect on our business, financial conditions, and results of operations.”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Separately, some states prohibit the use of courier services and the sale of online lottery tickets, while other states limit the charges that we can impose and collect. When such offerings are operational, we only purchase lottery games on behalf of our users and customers where our services are permitted and in accordance with applicable laws. Per jurisdiction, the scope and interpretation of the laws that are or may be applicable to our services and fees are subject to interpretation and may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compliance with federal, state, territorial and local laws is based on our interpretation of existing applicable laws regarding lottery services such as ours. We have obtained legal advice and notified certain lottery authorities in U.S. jurisdictions where we do business of the services that we offer, but in most cases, we have not received definitive determinations of the laws applicable to our services. There is a risk that existing or future laws in the jurisdictions in which we operate may be interpreted in a manner that is in some regards in conflict with our business model. Future laws that permit certain lottery services may be accompanied by restrictions or taxes that make it impractical or less feasible to operate in certain jurisdictions. For more information, see “</w:t>
      </w:r>
      <w:r>
        <w:rPr>
          <w:rFonts w:ascii="Times New Roman;Times;Serif" w:hAnsi="Times New Roman;Times;Serif"/>
          <w:b w:val="false"/>
          <w:i/>
          <w:caps w:val="false"/>
          <w:smallCaps w:val="false"/>
          <w:sz w:val="20"/>
        </w:rPr>
        <w:t>Item 1A. Risk Factors - Regulatory and Compliance Risks - A jurisdiction may enact, amend, or reinterpret laws and regulations governing our operations in ways that impair our revenues, cause us to incur additional legal and compliance costs and other operating expenses, or are otherwise not favorable to our existing operations or planned growth, all of which may have a material adverse effect on us or our results of operations, cash flow, or financial condition.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laws and regulations may be adopted or construed to apply to us that could restrict our business model, including privacy, taxation, marketing, anti-money laundering, anti-corruption, copyright, currency exchange, export, antitrust and other laws, as well as laws governing 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of electronic commerce may prompt calls for stronger consumer protection laws that may impose additional burdens on companies such as ours conducting business through the Internet and mobile devices. It is likely that scrutiny and regulation of our industry may increase, and we will be required to devote additional resources to compliance with applicable regulations. While we believe that we are currently in compliance in all material respects with all applicable laws and regulatory requirements, we cannot assure that our activities or any of our users’ activities will not become the subject of any regulatory or law enforcement investigation, proceeding, or other governmental or regulatory action or that any such investigation, proceeding, or action, as the case may be, would not have a materially adverse impact on us or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see “</w:t>
      </w:r>
      <w:r>
        <w:rPr>
          <w:rFonts w:ascii="Times New Roman;Times;Serif" w:hAnsi="Times New Roman;Times;Serif"/>
          <w:b w:val="false"/>
          <w:i/>
          <w:caps w:val="false"/>
          <w:smallCaps w:val="false"/>
          <w:sz w:val="20"/>
        </w:rPr>
        <w:t>Item 1A. Risk Factors - Regulatory and Compliance Risks - Our business model and the conduct of our operations may have to vary in each U.S. jurisdiction where we do business to address the unique features of applicable law to ensure we remain in compliance with that jurisdiction’s laws. Our failure to adequately do so may have an adverse impact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determine or be required to secure licenses from regulatory authorities with jurisdiction over our operations in markets in which we contemplate expansion. Such licensure may impose additional obligations on us and our operations, which may include continuous disclosure to, and investigation by, the applicable regulatory authority into the financial stability, integrity, and business experience of the Company, its affiliates, and their respective significant stockholders, directors, officers, and key employees. In markets in which we have not previously operated or in newly regulated markets, licensing regimes may impose licensing requirements or conditions with which we have not previously been required to comply, which may include locating technical infrastructure within the relevant territory, establishing real-time data interfaces with the regulatory authority, implementing additional consumer protection and privacy measures, or additional approvals or certifications of our technology, all of which may present operational challenges and material costs. Certain stockholders may be required to be licensed.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stockholder, director, officer, or key employee is required to submit to required background checks and provide disclosure, and such individual fails to do so, or they or we do not successfully do so, this may jeopardize the grant of a license, provide grounds for termination of an existing license, or result in the imposition of penalties. Generally, any person or entity who fails or refuses to apply for a governmental license, finding of suitability, registration, permit, or approvals within the prescribed period after being advised by a competent authority that they are required to do so may be denied or found unsuitable, as applicable, which may result in our determining or being required to sever our relationship with such person or entity. Further, we may be subject to disciplinary action or suffer revocation of licensure if, following notification that a person or entity is disqualified or unsuitable, we (a) pay them any dividend or interest upon our shares; (b) allow them to exercise, directly or indirectly, any voting right conferred through the shares they hold; (c) pay them remuneration in any form for services rendered or otherwise; or (d) if required, fail to pursue all lawful efforts to require them to relinquish their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Charter provides that any of our securities held by a person or entity that is disqualified or unsuitable, as such terms are defined in our Charter, are subject to redemption by us as and to the extent required by a regulatory authority or deemed necessary or advisable by our Board in its sole and absolute discretion. If a gaming authority requires the Company, or our Board deems it necessary or advisable, to cause any such securities be subject to redemption, we will deliver a redemption notice (as described in the Charter) to such person or entity or its affiliate(s) (as applicable) and we will purchase the number and type of securities specified in the redemption notice for the redemption price determined in accordance with the Charter and set forth in the redemption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Data Protection and Privacy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handle, collect, store, receive, transmit, and otherwise process certain personal information of our users, customers, and employees, we are also subject to federal, state, and international laws and regulations related to the privacy and protection of such data. Regulations such as the General Data Protection Regulation of the European Union put into effect in 2018 and the California Consumer Privacy Act, could affect our business, and the potential impact is still being determined. Other states are considering similar laws, which could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Responsible and Underage Gaming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compliance with the underage and responsible gambling requirements set forth in applicable domestic and international statutes and regulations governing our operations. We take our corporate responsibility to our users and the regulators with authority over our business very seriously, and we are focused on maintaining a safe and responsible gaming environment. We support and are members of the National Council on Problem Gaming, whose mission is to lead state and national stakeholders in the development of comprehensive policy and programs for all those affected by problem gaming. We continue to evaluate and develop our technology to meet the statutory requirements regarding responsible gaming and self-exclusion, as well as our own self-imposed objectives regarding corporate social responsibility.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U.S. jurisdictions and most of the international jurisdictions in which we operate prohibit sales of lottery tickets to persons under 18 years of age. We have instituted know-your-customer requirements to aid our efforts in identifying minors and preventing them from using our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jurisdictions, especially international jurisdictions, are imposing more stringent rules with regard to underage and responsible gambling. This trend could continue to spread, and both U.S. and international jurisdictions may strengthen underage and responsible gambling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to develop a comprehensive internal compliance program, to ensure compliance with legal requirements imposed in connection with our activities and with legal requirements generally applicable to publicly traded companies. While we are firmly committed to full compliance with all applicable laws and regulations, we cannot ensure that our compliance program will prevent the violation of one or more laws or regulations, or that a violation by us, an employee, a customer or other third-party will not result in enforcement action, the imposition of a monetary fine or suspension or revocation of one or more of our licenses, which could have a material adverse effect on us or on our results of operations, cash flow, or financial condition.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do business multi-nationally, our operations are subject to U.S. and foreign anti-corruption laws and regulations such as the U.S. Foreign Corrupt Practices Act of 1977, the U.K. Bribery Act of 2010 and other anti-corruption laws that may apply where we operate. As we enter new foreign markets, we are likely to become subject to additional laws and regulations and restrictions, which increases the risk that we or one of our subsidiaries will inadvertently violate one of such laws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Governance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of the Board and all principal executive officers who served in such positions at the time of the 2022 Operational Cessation have resigned from such positions and are no longer serving in any capacity with the Company or its subsidiaries. Robert Stubblefield is now the sole shareholder representative for all subsidiaries and Gregory Potts was appointed to the boards of Juega Lotto and Aganar. Corporate governance for Tinbu, LLC remains the same with AutoLotto, Inc. being the sole managing member of the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there are nine individuals employed by the Company. Additionally, the Company’s subsidiaries have more than 60 employees to support their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combination of trademark, copyright, and trade secret protection laws in the U.S. and other jurisdictions, as well as confidentiality procedures and contractual provisions, to protect our intellectual property and our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using the LOTTERY.COM trademark since 2017; in February 2022, the LOTTERY.COM logo was registered on the Supplemental Register of the U.S. Patent and Trademark Office. As of December 31, 2024, the registrations of our LOTTERY.COM word mark was pending with the U.S. Patent and Trademark Office. We are also using or have common-law trademark rights in the trademarks AUTOLOTTO, SPORTS.COM, and “TAP, TAP, TICKET.” We will continue to evaluate the filing of trademark applications in the U.S. and select foreign markets,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did not have any open patent applications or own any issued patents as of December 31, 2025, we will continue to evaluate our technology to determine whether it is appropriate to file patent applications in the U.S. or internationally.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protect our intellectual property rights by implementing policies that require our employees and independent contractors involved in development of intellectual property to enter into agreements acknowledging that all intellectual property generated or conceived by them on our behalf are our property and assigning to us any rights that they may claim or otherwise have in those works or property, to the extent allowable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our best efforts to protect our technology and proprietary rights through registrations, licenses, and contracts, unauthorized parties may still seek to use our intellectual property and technology without rights thereto. We may also face allegations that we have infringed the intellectual property rights of third parties, including our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internet address is www.seggmedia.com. Our website and the information contained therein or linked thereto are not part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1" w:name="a_003"/>
      <w:bookmarkEnd w:id="41"/>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the following risks and uncertainties that may have a material adverse effect on our business, financial condition, results of operations or reputation. The risks described below are not the only risks we face. Additional risks not presently known to us or that we currently believe are not material may also significantly affect our business, financial condition, results of operations or reputation. Our business could be harmed by any of these risks. The risk factors described below should be read together with the other information set forth in this Report, including our consolidated financial statements and the related notes, as well as in other documents that we file with the SEC.</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Risks Relating to Prior Management, Our Internal Controls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findings of the previously disclosed Internal Investigation and other matters have exposed us to a number of legal proceedings, investigations and inquiries, resulted in significant legal and other expenses, required significant time and attention from our senior management, among other adverse impacts.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the Company’s Reports on Form 8-K, initially filed with the SEC on July 6, 2022 and July 22, 2022, the Board retained outside counsel to conduct an Internal Investigation that revealed past instances of non-compliance with state and federal laws concerning the state in which tickets are procured as well as order fulfillment, and issues pertaining to the Company’s internal accounting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these issues contributed to the Company’s auditors’ determination that the Company’s audited financial statements for the year ended December 31, 2021 and the unaudited financial statement for the quarter ended March 31, 2022, should no longer be relied upon and required restatement.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consequence, on May 10, 2023 and May 15, 2023 respectively, the Company filed with the SEC as amended reports the required restatements of its year-end report for December 31, 2021 and for the quarter ended March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aforementioned issues have had and could continue to have material adverse impacts on the Company. The Company and certain of our former officers are the subject of a number of legal proceedings, investigations and inquiries with respect to cited issues and have been named as a defendant in a number of lawsuits, including class action lawsuits. The Company incurred significant costs in connection with its internal investigations, including legal expenses and costs associated with the restatement and adjustments to its financial statements. We may also incur material costs associated with our indemnification arrangements with our current and former directors and certain of our officers, as well as other indemnitees. Moreover, an unfavorable outcome in any of these matters could result in significant damages, additional penalties or other remedies imposed against the Company, or the Company’s former directors or officers, which could harm our reputation, business, financial condition, results of operations or cash flows. In addition, an unfavorable outcome in any of these matters could exceed coverage provided, if any, under potentially applicable insurance policies, which is limited. These issues have also led to material adverse impacts on our operations, our reputation and our relationships with business partners, as well as material adverse impacts on our financial position, including incurred costs and expenses and our ability to raise new capital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all impacts on the Company in connection with or arising from any of the foregoing. Any unknown or new risks might result in a material adverse effect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and certain of our former officers are, and in the future, we or our officers and directors may become, the subject of legal proceedings, investigations and inquiries by governmental agencies with respect to the findings of the Internal Investigation and other matters, which could have a material adverse effect on our reputation, business, financial condition, cash flows and results of operations, and could result in additional claims and material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certain of our former officers are currently the subject of investigations and inquiries by the SEC and the U.S. Department of Justice (the “DOJ”). The Company is cooperating fully with such investigations and inquiries. In the future, we or our officers and directors may become the subject of legal proceedings, investigations, and inquiries by governmental agencies in various jurisdictions relating to the findings of Internal Investigation and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investigations and inquiries and any other similar or related future legal proceedings, investigations or inquiries are subject to inherent uncertainties, and the actual costs to be incurred relating to these matters depend upon many unknown factors. We are unable to predict the outcome of any of these legal proceedings, investigations, and inquiries, and we could be forced to expend significant resources in the defense of one or more of these actions. There is also the risk that we may not prevail in any proceeding involving us. Cooperating with, as well as monitoring and defending against, any of these actions is time-consuming for management and detracts from their ability to fully focus our internal resources pertaining to our business operations. In addition, we have already incurred and may continue to incur substantial legal fees and costs as well as internal administrative time, in connection with such matters. We are also generally obligated, to the extent permitted by law, when applicable, to indemnify our current and former directors and officers who may be named in these or similar actions. We are not currently able to estimate the possible cost to us from these matters, as we cannot be certain how long they may take to resolve or the possible amount of any civil penalties or damages, if any, that we may be required to pay. It is possible that we could, in the future, incur judgments or enter into settlements of claims for monetary damages. Decisions adverse to our interests in these actions could result in damages, fines, penalties, consent orders or other sanctions against the Company or our officers, or in changes to our business practices, among others, any of which could have a material adverse effect on our cash flow, results of operations and financial position.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publicity surrounding any such proceeding, investigation or inquiry or any enforcement action as a result thereof, even if ultimately resolved favorably for us, coupled with the intensified public scrutiny of our Company and certain of its practices, could result in additional investigations and legal proceedings. As a result, such proceedings, investigations and inquiries could have a material adverse effect on our reputation, business, financial condition, cash flows and results of operations, and could cause our securities to decline in value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been named as a defendant in a number of lawsuits filed by purchasers of our securities, including class action lawsuits that could have a material adverse impact on our business, financial condition, results of operation and cash flows, and our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named as a defendant in a number of lawsuits filed by purchasers of our securities, including class action lawsuits and will have to defend against such suits, including any appeals of such suits should our initial defenses be unsuccessful. We are currently unable to estimate the possible loss or possible range of loss, if any, associated with the resolution of these suits. In the event that our initial defenses of these suits are unsuccessful, there can be no assurance that we will prevail in any appeal.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outcome of these lawsuits. The matters that led to our Internal Investigation and our financial restatement have exposed us to increased risks of litigation, regulatory proceedings and government enforcement actions. We and our current and former directors and officers may, in the future, be subject to additional litigation relating to such matters. Subject to certain limitations, we are obligated to indemnify our current and former directors and officers in connection with such lawsuits and any related litigation or settlements amounts. Regardless of the outcome, these lawsuits, and any other litigation that may be brought against us or our current or former directors and officers, could be time-consuming, result in significant expense and divert the attention and resources of our management and other key employees. An unfavorable outcome in any of these matters could result in significant damages, additional penalties or other remedies imposed against us, our current or former directors or officers, which could harm our reputation, business, financial condition, results of operations or cash flows. In addition, an unfavorable outcome in any of these matters could exceed coverage provided, if any, under potentially applicable insurance policies, which is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Matters relating to or arising from the restatements of financial filings, the investigations and regulatory inquiries, including adverse publicity connected to these matters as well as other concerns, coupled with potential concerns from our users, customers or others with whom we do business, have had and could continue to have an adverse effect on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and could continue to be the subject of negative publicity focusing on the Internal Investigation and the restatements and adjustments to our financial statements, and we may be adversely impacted by negative reactions from our users, customers or others with whom we do business. Concerns include the perception of the effort required to address our accounting and control environment, and the ability for us to be a long-term provider to our customers. Continued adverse publicity and potential concerns from our customers and business partners or others could harm our business and have an adverse effect on our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significant losses and require additional capital; substantial doubt exists regarding our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operating losses and negative cash flows and have previously reduced operations due to liquidity constraints. We expect to continue to incur expenses as we rebuild infrastructure, personnel, compliance systems and operations and pursue growth initiatives, including acquisitions and commercialization of digital assets. Our financial statements include a going concern explanatory paragraph. Our ability to continue as a going concern depends on our ability to raise additional capital, execute our strategy and generate sustainable revenues. There can be no assurance that we will be successful in doing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adequate financing or generate sufficient cash flow, we may be required to delay, scale back or discontinue operations, restructure obligations, sell assets, or seek protection under applicable bankruptcy laws.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implement and maintain an effective system of internal controls, we may be unable to accurately report our results of operations, meet our reporting obligations or prevent fraud, and, as a result, investor confidence and the trading price of our common stock and warrants may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audit of our consolidated financial statements as of and for the year ended December 31, 2021, we and our independent registered public accounting firm identified certain material weaknesses in our internal control over financial reporting as of December 31, 2021. Such material weaknesses have not been fully remediated as of December 31, 2025 but many have been addressed. As defined in the standards established by the U.S. Public Company Accounting Oversight Board,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Past material weaknesses identified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sufficient number of personnel with an appropriate level of knowledge and experience in accounting for complex or non-routine transactions;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our policies and procedures with respect to the review, supervision and monitoring of our accounting and reporting functions were either not designed and in place or not operating effectively;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Deficiencies in the design and operations of the procedures relating to the timely closing of financial books at quarter and fiscal year end;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Incomplete segregation of duties in certain types of transactions and processes.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material weaknesses, management has concluded that our internal control over financial reporting remained ineffective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implement measures to remediate the identified material weaknesses. Despite these efforts, no assurance can be provided that such remedial measures will be successful in fully resolving the deficiencies in our internal controls, including those identified by the Internal Investigation, will insulate us from the consequences of past disclosure inaccuracies, or will be successful in preventing inaccurate disclosures in the future. The Company also cannot predict whether, or to what extent, such remedial actions will impact its operations or financial results. See “</w:t>
      </w:r>
      <w:r>
        <w:rPr>
          <w:rFonts w:ascii="Times New Roman;Times;Serif" w:hAnsi="Times New Roman;Times;Serif"/>
          <w:b w:val="false"/>
          <w:i/>
          <w:caps w:val="false"/>
          <w:smallCaps w:val="false"/>
          <w:sz w:val="20"/>
        </w:rPr>
        <w:t>Item 9A. Controls and Procedures-Material Weaknesses in Internal Control Over Financial Reporting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there can be no guarantee that the Company’s internal investigations and subsequent inquiries revealed all instances of inaccurate disclosure or other deficiencies, or that other existing or past inaccuracies or deficiencies will not be revealed in the future. Our failure to correct these deficiencies or our failure to discover and address any other deficiencies could result in inaccuracies in our financial statements and could also impair our ability to comply with applicable financial reporting requirements and related regulatory filings on a timely basis. As a result, our business, financial condition, results of operations and prospects, as well as the trading price of our shares of common stock and warrants, may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these deficiencies could cause investors to lose confidence in our reported financial information, limiting our access to capital markets, adversely affecting our operating results and leading to declines in the trading price of our shares of common stock and warrants. Additionally, ineffective internal controls could expose us to increased risks of fraud or misappropriation of corporate assets and subject us to further litigation or regulatory investigations and civil or criminal sanctions. We could also be required to further restate our historical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subject to the Sarbanes-Oxley Act of 2002. Section 404 of the Sarbanes-Oxley Act, or Section 404, requires that we include a report from management on the effectiveness of our internal control over financial reporting in our Annual Reports on Form 10-K and Quarterly Reports on Form 10-Q. In addition, once we become an “accelerated filer” and cease to be a “smaller reporting company” as such terms are defined in the JOBS Act, our independent registered public accounting firm must attest to and report on the effectiveness of our internal control over financial reporting. Moreover, even if our management concludes that our internal control over financial reporting is effective, our independent registered public accounting firm, after conducting its own independent testing, may issue an adverse opinion on the effectiveness of internal control over financial reporting because of the existence of a material weakness if it is not satisfied with our internal controls or the level at which our controls are documented, designed, operated or reviewed, or if it interprets the relevant requirements differently from us. In addition, as a public company, our reporting obligations may place a significant strain on our management, operational and financial resources and systems for the foreseeable future. We may be unable to timely complete our evaluation, testing, and any required remediation.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course of documenting and testing our internal control procedures, in order to satisfy the requirements of Section 404, we may identify other weaknesses and deficiencies in our internal control over financial reporting.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it could result in future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our shares of common stock and warrants, may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circumstances that led to the failure to file our annual report and quarterly reports on time, and our efforts to investigate, assess and remediate those matters have caused and may continue to cause substantial delays in our SEC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 timely filing schedule with respect to our SEC reporting is subject to a number of contingencies, including whether and how quickly we are able to effectively remediate the identified material weaknesses in our internal control over financial reporting. Our filing of our quarterly reports and annual reports has been delayed and we cannot assure you we will be able to timely make our future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cases where we delay our filings, investors will need to evaluate certain decisions with respect to our shares of common stock and warrants in light of our lack of current financial information. Accordingly, any investment in our shares or warrants may involve a greater degree of risk than other companies who are current on their public filings. Our lack of current public information may have an adverse impact on investor confidence, which could lead to a reduction in our stock price or restrictions on our abilities to obtain financing in the public market, among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Business, Market &amp; Economic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strategic repositioning from a lottery-focused business to a diversified sports, entertainment and gaming media platform involves substantial execution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repositioning SEGG Media Corporation as a diversified sports, entertainment and gaming platform, including through the development and monetization of premium digital assets and the acquisition of media and gaming-adjacent businesses. This transformation requires successful execution across multiple disciplines, including traffic acquisition, product development, content operations, advertising and sponsorship monetization, technology infrastructure and regulatory compliance. We have limited operating history in certain of these verticals. If we fail to execute this strategy, our growth prospects, financial performance and valuation may be materially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acquisition strategy exposes us to integration, valuation and impairment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pursue acquisitions as a core component of our growth strategy. Acquisitions involve significant risks, including overpayment, inaccurate valuation assumptions, integration challenges, diversion of management attention, loss of key personnel, undisclosed liabilities, regulatory approval risks, and failure to achieve anticipated synergies. Acquisitions may require significant cash, debt or equity financing and may be dilutive. If acquired businesses or assets fail to perform as expected, we may be required to record impairment charges relating to goodwill or intangible assets, which could materially adversely affect our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significantly on premium domain assets and digital traffic, and our ability to monetize such assets is uncertain.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includes commercialization of premium digital assets, including domain names and related brands. The value of such assets depends on traffic, consumer behavior, search engine rankings, brand recognition, intellectual property protection and successful monetization (including advertising, sponsorship, subscriptions, licensing or commerce). Search engine algorithm changes, increased competition, changes in platform policies, reputational issues, or failure to convert traffic into revenue could materially reduce the value of these assets and could require impairment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forecasts, projections and internal plans are subject to significant uncertainty and may differ materially from actual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forecasts, targets or projections we provide (including in investor presentations or otherwise) are subject to significant risks, assumptions, estimates and uncertainties, including assumptions regarding future legislation, regulatory developments, market adoption, consumer demand and competitive conditions. Our actual revenues, expenses, market share and profitability may differ materially from any projections. We may invest in the development or marketing of products, services or distribution channels that do not achieve commercial success, in which case we may not recover those investments and our operating results could be adversely affected.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 within the global entertainment and gaming industries is intense and if we fail to compete effectively, our users may be attracted to our competitors or to competing forms of entertainment including those on mobile devices and web applications, such as streaming, online gaming, esports, and online sports betting. If our offerings are not popular, we could experience price reductions, reduced margins, loss of market share, and our business, financial condition, and results of operations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users have a vast array of entertainment choices, including television, movies, sporting events, in-person lottery gaming, real money gaming, and sports betting, all of which are more established and may be perceived by our users to offer greater variety, affordability, interactivity, and enjoyment than our offerings. We compete with these and other forms of entertainment for our users’ discretionary time and income. If we are unable to sustain sufficient interest in our product offerings in comparison to other forms of entertainment, including new and emerging forms of entertainment available on mobile devices and web applications, such as streaming, online gaming, esports, and online sports betting, our business model may not continue to be viable.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specific industries in which we have historically operated are characterized by dynamic consumer demand and technological advances, and there is intense competition amongst providers to the lottery, online gaming, sports betting, and promotions industries. Specifically, a number of established, well-financed third-party lottery application companies, online gaming providers, sports betting, and interactive entertainment companies have competed with our offerings, and other well-capitalized companies may introduce competitive services that achieve greater market acceptance. Such competitors may spend more money and time on developing and testing products, services, and systems, undertake more extensive marketing campaigns, adopt more aggressive pricing or promotional policies, or otherwise develop more commercially successful products, services, or systems than we are able, which could negatively impact our business. Furthermore, new competitors may enter the mobile lottery industry, and government lottery operators may introduce forms of online lottery gaming that compete with our services. There has also been, and continues to be, considerable consolidation among competitors in the entertainment, gaming, and lottery industries, and such consolidation, and future consolidation, could result in the formation of larger competitors with increased financial resources and altered cost structures, which may enable them to offer more competitive products, gain a larger market share, expand offerings, and broaden their geographic scope of operations. If we are not able to achieve sufficient market share, if our offerings are not popular, or if we are not able to provide competitive products, our business, financial condition, and results of operations could be harmed.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Economic downturns, inflation, and political and market conditions beyond our control could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 is subject to U.S. and global economic conditions and their impact on levels of spending by potential users and customers of our Platform and acquirers of our Data Service. Economic recessions, or other economic conditions such as rising inflation and interest rates, have had, and may continue to have, far reaching adverse consequences across many industries, including the global entertainment, lottery, sweepstakes and promotions, and gaming industries, which may adversely affect our business, financial condition, and results of operations. There may be an increasing risk of a recession or inflationary economic impacts due to international trade and monetary policy, variations in interest rates and inflation, and acts or threats of acts of war, along with other economic challenges. If the national and international economic growth slows or stalls, these economies experience another recession, or any of the relevant regional or local economies suffers a downturn, or if inflationary effects accelerate, we may experience a material adverse effect on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changes in general market, economic, and political conditions in domestic and foreign economies or financial markets, including those resulting from, for example: rising interest rates and inflation; geopolitical challenges, including global security concerns in response to Russia’s continued war in Ukraine and regional wars in the Middle East; financial and credit market instability or the unavailability of credit; and fluctuation in stock markets, may reduce users’, customers’, or subscribers’ disposable income and corporate budgets. Any one of these changes could have a material adverse effect on our business, financial condition, or results of operations and could cause the value of our securities to decline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Reductions in discretionary consumer spending could have an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particularly sensitive to reductions from time to time in discretionary consumer spending. Demand for entertainment and leisure activities, including lottery play, can be affected by changes in the economy and consumer tastes, both of which are difficult to predict and beyond our control. Unfavorable changes in general economic conditions, including recessions, economic slowdowns, sustained high levels of unemployment, and rising prices and inflation, or the perception by consumers of weak or weakening economic conditions, may reduce our users’ disposable income or result in fewer individuals engaging in entertainment and leisure activities, such as purchasing lottery games through remote channels. Our business may be impacted by several factors, including reductions in discretionary income due to changes in employment conditions, as well as customer preferences regarding discretionary spending habits, have caused and will likely continue to cause a reduction in consumer spending. As a result, fewer individuals may engage in gaming and lottery activities. The effect of a decrease in consumer spending on entertainment and leisure activities due to unfavorable market conditions could reduce the Company’s cash flows and revenues and therefore have a material and adverse impact on our results of operations. As a result, we cannot ensure that demand for our offerings will remain constant or achieve our anticipated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developments affecting economies throughout the world, including a general tightening of availability of credit, decreased liquidity in certain financial markets, increased interest rates and inflation, foreign exchange fluctuations, increased energy costs, acts or perceived threats of war or terrorism, transportation disruptions, natural disasters, declining consumer confidence, sustained high levels of unemployment, or significant declines in stock markets, natural disasters, as well as concerns regarding pandemics, epidemics, and the spread of contagious diseases, could lead to a further reduction in discretionary spending on entertainment and leisure activities, such as lottery play and participation in sweepstakes. Any significant or prolonged decrease in consumer spending on entertainment or leisure activities could adversely affect the demand for our offerings, reducing our cash flows and revenues, and thereby materially harming our business, financial condition, and results of operations and could cause the value of our securities to decline or become worthless.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Negative events or negative media coverage relating to, or a declining popularity of, the lottery or lottery games in general, or other negative coverage relating to lottery, forms of online gaming or betting, or the gaming industry, may adversely impact our ability to retain or attract users, which could have an adverse impact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opinion can significantly influence our business. Unfavorable publicity regarding, for example, our company, members of our management and Board, our technology, our implementation of upgrades and changes to our technology, the quality of our Platform and its interfaces, our product offerings, our other services and systems, actual or threatened litigation or regulatory activity, the actions of third parties with whom we have relationships, our ability to recommence our business operations, or the conduct of the lottery authorities and the products they offer, including declining popularity of a particular lottery game or lottery games in general, could seriously harm our reputation. In addition, a negative shift in the perception of lottery games by the public or by politicians, lobbyists, or others could affect future legislation regarding the mobile purchase of lottery games from third-party providers, including with respect to the regulation or licensure of couriers, or with respect to the legalization of online lottery game sales (“Online Lottery”), either of which may impact our operations. Negative public perception could also lead to new restrictions on or to the prohibition of mobile lottery play in jurisdictions in which we currently operate. Such negative publicity could also adversely affect the size, demographics, engagement, and loyalty of our new players and established user base, and it could result in decreased revenue or slower user growth rates, which could seriously harm our business, financial condition, and results of operations and could cause the value of our securities to decline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growth will depend largely on our ability to attract players and retain users, and the loss of our users, failure to attract new users in a cost-effective manner, or failure to effectively manage our growth could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growth in revenue in the future will depend, in large part, upon our ability to attract new customers to our offerings, retain existing users of our offerings, and reactivate users in a cost-effective manner. Achieving growth in our community of users may require us to increasingly engage in sophisticated and costly sales and marketing efforts, which may not make sense in terms of return on investment. We have used and expect to continue to use a variety of free and paid marketing channels, in combination with the promotional activity of in-state and multi-state issued lottery games, to achieve our objectives. For paid marketing, we intend to leverage a broad array of advertising channels, which may include a combination of radio and social media platforms, such as Facebook, Instagram, and X (formerly Twitter), affiliate marketing, paid and organic search engines, and other digital channels, such as mobile display. If the search engines on which we rely modify their algorithms, change their terms around gaming and lottery, or if the prices at which we may purchase listings increase, then our costs could increase, and fewer users may click through to our websites or download our application. If links to our websites or application are not displayed prominently in online search results, if fewer users click through to our websites or application, if our other digital marketing campaigns are not effective, or if the costs of attracting users via any of our current methods significantly increase, then our ability to efficiently attract new users could be reduced, our revenue could decline, and our business, financial condition, and results of operations could be harmed and could cause the value of our securities to decline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growth in the mobile and online gaming industry and the level of demand for and market acceptance of our product offerings is subject to a high degree of uncertainty. We cannot ensure that users will use our products or that the industry will achieve more widespread acceptance.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as technological or regulatory standards change and we modify our offerings to comply with those standards, we may need users to take certain actions to continue playing, such as performing age verification and location checks or accepting new terms and conditions, including those regarding responsible gaming. Users may stop using our offerings at any time, including if the quality of the user experience or our support capabilities in the event of a user concern, does not meet their expectations or keep pace with the quality of the customer experience generally offered by competitive offerings. This could seriously harm our business, financial condition and results of operations and could cause the value of our securities to decline or become worthless.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continue to use the domain names that we use in our business or prevent third parties from acquiring and using domain names that infringe on, or are similar to, or otherwise decrease the value of our brand, trademarks, or service 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registered domain names that we use in, or are related to, our business, most importantly </w:t>
      </w:r>
      <w:r>
        <w:rPr>
          <w:rFonts w:ascii="Times New Roman;Times;Serif" w:hAnsi="Times New Roman;Times;Serif"/>
          <w:b w:val="false"/>
          <w:i/>
          <w:caps w:val="false"/>
          <w:smallCaps w:val="false"/>
          <w:sz w:val="20"/>
        </w:rPr>
        <w:t>www.lottery.com</w:t>
      </w:r>
      <w:r>
        <w:rPr>
          <w:rFonts w:ascii="Times New Roman;Times;Serif" w:hAnsi="Times New Roman;Times;Serif"/>
          <w:b w:val="false"/>
          <w:i w:val="false"/>
          <w:caps w:val="false"/>
          <w:smallCaps w:val="false"/>
          <w:sz w:val="20"/>
        </w:rPr>
        <w:t xml:space="preserve"> and www.</w:t>
      </w:r>
      <w:r>
        <w:rPr>
          <w:rFonts w:ascii="Times New Roman;Times;Serif" w:hAnsi="Times New Roman;Times;Serif"/>
          <w:b w:val="false"/>
          <w:i/>
          <w:caps w:val="false"/>
          <w:smallCaps w:val="false"/>
          <w:sz w:val="20"/>
        </w:rPr>
        <w:t>sports.com</w:t>
      </w:r>
      <w:r>
        <w:rPr>
          <w:rFonts w:ascii="Times New Roman;Times;Serif" w:hAnsi="Times New Roman;Times;Serif"/>
          <w:b w:val="false"/>
          <w:i w:val="false"/>
          <w:caps w:val="false"/>
          <w:smallCaps w:val="false"/>
          <w:sz w:val="20"/>
        </w:rPr>
        <w:t xml:space="preserve">. We believe our easily identifiable and definitional brands and domain names are one of our competitive strengths. If we lose the ability to use our domain names, especially </w:t>
      </w:r>
      <w:r>
        <w:rPr>
          <w:rFonts w:ascii="Times New Roman;Times;Serif" w:hAnsi="Times New Roman;Times;Serif"/>
          <w:b w:val="false"/>
          <w:i/>
          <w:caps w:val="false"/>
          <w:smallCaps w:val="false"/>
          <w:sz w:val="20"/>
        </w:rPr>
        <w:t>www.lottery.com</w:t>
      </w:r>
      <w:r>
        <w:rPr>
          <w:rFonts w:ascii="Times New Roman;Times;Serif" w:hAnsi="Times New Roman;Times;Serif"/>
          <w:b w:val="false"/>
          <w:i w:val="false"/>
          <w:caps w:val="false"/>
          <w:smallCaps w:val="false"/>
          <w:sz w:val="20"/>
        </w:rPr>
        <w:t xml:space="preserve"> and www.</w:t>
      </w:r>
      <w:r>
        <w:rPr>
          <w:rFonts w:ascii="Times New Roman;Times;Serif" w:hAnsi="Times New Roman;Times;Serif"/>
          <w:b w:val="false"/>
          <w:i/>
          <w:caps w:val="false"/>
          <w:smallCaps w:val="false"/>
          <w:sz w:val="20"/>
        </w:rPr>
        <w:t>sports.com</w:t>
      </w:r>
      <w:r>
        <w:rPr>
          <w:rFonts w:ascii="Times New Roman;Times;Serif" w:hAnsi="Times New Roman;Times;Serif"/>
          <w:b w:val="false"/>
          <w:i w:val="false"/>
          <w:caps w:val="false"/>
          <w:smallCaps w:val="false"/>
          <w:sz w:val="20"/>
        </w:rPr>
        <w:t>, whether due to trademark claims, failure to renew applicable registrations, or any other cause, we may be forced to incur significant expense in order to attempt to purchase rights to the domain name in question, the failure of which would require us to market the relevant offerings under a new domain name, and we may be required to change our brand, which could cause us substantial harm and expense, and could negatively impact our business, financial condition, and results of operations. We may not be able to obtain preferred domain names outside the U.S. due to a variety of reasons. In addition, our competitors and others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 Protecting, maintaining, and enforcing our rights in our domain names may require litigation, which could result in substantial costs and diversion of resources, all of which could, in turn, adversely affect our business, financial condition, and results of operations and could cause the value of our securities to decline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related to corporate social responsibility, responsible gaming, reputation, and ethical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factors influence our reputation and the value of our brands, including the perception held by our users, customers, business partners, investors, regulatory authorities, key stakeholders, and the communities in which we operate, such as our social responsibility, corporate governance, and responsible gaming practices. We have faced, and will likely continue to face, increased scrutiny related to social, governance and responsible gaming activities, and our reputation and the value of our brands can be materially adversely harmed if we fail to act responsibly in a number of areas, such as diversity and inclusion, workplace conduct, responsible gaming, human rights, philanthropy, and support for local communities. Any harm to our reputation could impact employee engagement and retention, and the willingness of users, customers and partners to do business with us, which could have a materially adverse effect on our business, financial condition, and results of operations and could cause the value of our securities to decline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Illegal, unethical or fraudulent activities perpetrated by any of our members of management or Board, users, customers, or partners for personal gain could expose us to potential reputational damage and financial loss, which would negatively impact our business, financial condition, and results of operations and could cause the value of our securities to decline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General Operational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net losses in the past with negative cash flows and suspended operations and may not be able to generate and sustain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incurring net losses and have suspended significantly our U.S. operations since July 2022, the Operational Cessation. We may not be able to achieve or maintain a needed level of profitability in the future. On a fully consolidated basis we experienced net losses of approximately $20.3 million for the year ended December 31, 2025, and approximately $28.2 million and $25.6 million for the years ended December 31, 2024 and December 31, 2023, respectively. As of December 31, 2025, we had an accumulated deficit of approximately $284 million. While we have received some limited revenue since the U.S. 2022 Operational Cessation, we cannot predict when or whether we will be able to fully restart our operations or whether or not we will be able to reach profitability at any time in the future.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expect our operating expenses to increase in the future as we continue to invest for our future growth, which will negatively affect our results of operations if our total revenue does not increase. We cannot ensure that these investments will result in substantial increases in our total revenue or improvements in our results of operations. In addition to the anticipated costs to grow our business, we also expect to incur significant additional legal, accounting, and other expenses as a public company. Once we fully restart our U.S. operations, any failure to increase our revenue or to manage our costs could prevent us from achieving or maintaining profitability or positive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materially adversely affected if our products, technology, services, and solutions do not achieve and maintain broad market acceptance, if we are unable to keep pace with or adapt to rapidly changing technology, evolving industry standards, and changing regulatory requirements, or if we do not invest in product and systems development and provide services that are attractive to our users and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and financial success will depend on our ability to anticipate the needs of potential users and customers, to achieve and maintain broad market acceptance for our existing and future products, services, and systems, to successfully introduce new and upgraded products, services, and systems, and to successfully implement our current and future geographic expansion plans. To be successful, we must be able to quickly adapt to changes in technology, industry standards, and regulatory requirements by continually enhancing our technology, services, and solutions. Developing new services and upgrades to services, as well as integrating and coordinating current services, imposes burdens on our internal teams, including management, compliance, and product development. These processes are costly, and our efforts to develop, integrate, and enhance our products, services, and systems may not be successful. In addition, successfully launching a new or upgraded product or expanding into a new jurisdiction will put additional strains on our financial, technology and marketing resources. Expanding into new markets and investing resources towards increasing the depth of our coverage within existing markets will impose additional burdens on our research, systems development, sales, marketing, and general managerial resources. If we are unable to manage our expansion efforts effectively, obtain greater market share or obtain widespread adoption of new or upgraded products, services, and systems, we may not be able to offset the expenses associated with the launch and marketing of the new or upgraded products, services, and systems, which could have a material adverse effect on our financial results. If we introduce new or expand existing offerings for our business, we may incur losses or otherwise fail to enter these markets successfully. Our expansion into these markets will place us in competitive and regulatory environments with which we are unfamiliar and involve various risks, including the need to invest significant resources and the possibility that returns on such investments will not be achieved for several years,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develop new or upgraded offerings or decide to combine, shift focus from, or phase out a service, then our users or customers may choose a competitive offering over ours, our revenues may decline, and our profitability may be reduced. If we incur significant costs in developing new or upgraded systems, products or services, or combining and maintaining existing systems, if we are not successful in marketing and selling these new products or upgrades, or if our users or customers fail to accept these new or combined products, then there could be a material adverse effect on our results of operations due to a decrease of our revenues. If we eliminate or phase out a product and are not able to offer and successfully market and sell an alternative product, our revenue may decrease, which could have a material adverse effect on our results of operations.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will largely depend on our ability to make continuous improvements to provide products, services, and systems that are attractive to our users and customers. As a result, we will need to continually invest resources in product development and successfully incorporate and develop new technology. If we are unable to do so or otherwise provide products, services, and systems that users and customers want, then our users or customers may become dissatisfied and use competitors’ services. If we are unable to continue offering innovative products, services, and systems, we may be unable to attract additional users or customers or retain our existing users or customers, which could harm our business, results of operations, and financial condition and could cause the value of our securities to decline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results of operations may fluctuate due to seasonality and other factors and, therefore, our periodic operating results will not be guarantees of future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sports, concerts and lottery games are offered on a year-round basis, there is seasonality in purchasing that may impact our operations and activities of our customers. The broad geographical mix of our user and customer base also impacts the effect of seasonality, as users and customers in different territories typically place differing importance on different events and those events often have different calendars Such fluctuations and uncertainties may negatively impact our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capitalize on trends and changes in the gaming and lottery industries, including due to the operational costs involved, the laws and regulations governing these industries in various jurisdictions,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participate in new and evolving aspects of the mobile gaming and lottery industries. Part of our strategy, when we have sufficient funding, is to take advantage of the liberalization of regulations covering these industries on a global basis. These industries involve significant risks and uncertainties, including legal, business, and financial risks. The fast-changing environment in these industries can make it difficult to plan strategically and can provide opportunities for competitors to grow their businesses at our expense. Consequently, our future results of operations, cash flows, and financial condition are difficult to predict and may not grow at the rates we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enter into any business that is determined to be internet gaming, any jurisdiction in which our existing business is deemed to be internet gaming, or our customers offer internet gaming, it is important to recognize that the laws relating to internet gaming are evolving literally by jurisdiction. To varying degrees, governments have taken steps to change the regulation of internet wagering through the implementation of new or revised licensing and taxation regimes, including the possible imposition of sanctions on unlicensed providers. We cannot predict the timing, scope or terms of the implementation or revision of any such state, federal or foreign laws or regulations, or the extent to which any such laws and regulations may facilitate or hinder our strategy or be applicable to or impactful on our business,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jurisdictions that authorize internet gaming, we may not be successful in offering our technology, content and services to internet gaming operators, We expect to face intense competition from our traditional competitors in the gaming and lottery industries, as well as a number of other domestic and foreign competitors (and, in some cases, the operators themselves), many of which have substantially greater financial resources or experience in this area than we do.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Know-your-customer and geo-location programs and technologies supplied to us by third parties are an important aspect of certain internet and mobile gaming products, services, and systems, because they can confirm certain information with respect to players and prospective players, such as age, identity, and location. Payment processing programs and technologies, typically provided by third parties, are also a necessary feature of interactive and mobile wagering products, services, and systems. Moreover, we cannot provide any assurance that programs or technologies supplied to us by third parties will always meet regulatory standards, which constitutes an economic and regulatory risk to us. Additionally, these programs and technologies are costly to implement, and our use of them may have an adverse impact on our results of operations, cash flows, and our financial condition and overall business risk. Also, our products or services containing these programs and technologies may not be available to us on commercially reasonable terms, if at all, and may not perform accurately or otherwise in accordance with required specifications, all of which may have a negative impact on our business, results of operations, and financial condition and could cause the value of our securities to decline or become worthless.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Branding and Reputational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on a strong brand, and if we are not able to develop, maintain and enhance our brand and reputation, including as a result of negative publicity, our business and operating results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developing, maintaining and enhancing our brand and reputation is critical to achieving widespread acceptance of our products, services, and systems, attracting and retaining users and customers, persuading users and customers to adopt additional products, services, and systems, and hiring and retaining our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importance of our brand will increase as competition in the markets in which we participate further intensifies. Successful promotion of our brand will depend on a number of factors, including the effectiveness of our marketing efforts, our ability to provide high-quality, reliable, and cost-effective products, services, and systems, the perceived value of our products, services, and systems, and our ability to provide quality user and customer success and support experience. Brand promotion activities require us to make substantial expenditures. The promotion of our brand, however, may not generate user and customer awareness or increase revenue to the extent we anticipate, or at all, and any increase in revenue may not offset the expenses we incur in building and maintaining our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employees, our affiliates, and others with whom we have contractual relationships also use social media to communicate externally. There is a risk that this use of social media to communicate about our business may give rise to liability or result in public exposure of personal information of our employees, our users, or others, each of which could affect our revenue,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public-facing industry where negative publicity, whether justified, can spread rapidly through, among other things, social media. To the extent that we are unable to respond timely and appropriately to negative publicity, our reputation and brand could be harmed. Moreover, even if we are able to respond in a timely and appropriate manner, we cannot be certain that it will be timely or sufficient to not cause us to suffer reputational and brand damage, which could affect our revenue,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marketing efforts to help grow our business may not be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Promoting awareness of our brands is important to our ability to grow our business and to attract new users and customers in the future, which can be costly. Our marketing initiatives may become increasingly expensive and generating a meaningful return on these initiatives may become difficult. Even if we successfully increase revenue as a result of these marketing efforts, it may not offset the additional marketing expenses we incur. If our marketing efforts intended to help grow our business are not effective, we expect that our business, financial condition, and results of operations would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detect fraud or misappropriation of proprietary information, including by our users, customers, and employees and contractors, our reputation and brand may suffer, which could negatively impact our business, financial condition, and results of operations and can subject us to investigations and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incurred, and may in the future, incur losses from various types of fraud, which may include the use of stolen or fraudulent payment card data, claims of unauthorized payments by a user and attempted payments by users with insufficient funds, referral fraud by affiliates, fraud with respect to background checks, fraud by employees or contractors, including our couriers, and account misappropriation by bad actors, or phishing. Bad actors use increasingly sophisticated methods to engage in illegal activities involving personal information, such as identity theft, payment or bank account information theft and the unauthorized acquisition of mobile phone numbers and other accounts.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Acts of fraud may involve various tactics, including collusion. Successful exploitation of our technology could have negative effects on our product offerings, services, and user experience and could harm our reputation. Failure to discover such acts or schemes in a timely manner could result in harm to our operations. In addition, negative publicity related to such schemes could have an adverse effect on our brand and reputation, potentially causing a material adverse effect on our business, financial condition, and results of operations and could cause the value of our securities to decline or become worthless. In the event of the occurrence of any such issues with our existing technology or product offerings, substantial engineering and marketing and other resources, and management attention, may be diverted from other projects and requirements to correct these issues, which may delay other projects and the achievement of our strategic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misappropriation of, or access to, users’ or other proprietary information or other breach of our information security could result in legal claims or legal proceedings, including regulatory investigations and actions, or liability for failure to comply with privacy and information security laws, including for failure to protect personal information or for misusing personal information, which could disrupt our operations, force us to modify our business practices, require us to comply with costly remediation requirements, damage our brand and reputation, and expose us to claims from our users, regulators, employees, and other parties, any of which could have an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held liable for these acts of fraud. For example, under current payment card industry practices, we may be liable for use of funds on our products with fraudulent payment card data, even if the associated financial institution approved the transaction. Despite measures we have taken to detect and reduce the occurrence of fraudulent or other malicious activity on our offerings, we cannot guarantee that any of our measures will be effective or will scale efficiently with our business. Our failure to adequately detect or prevent fraudulent transactions could harm our reputation or brand, result in litigation or regulatory action that may include fines and penalties, and lead to expenses, all of which could adversely affect our business, financial condition, and results of operations and could cause the value of our securities to decline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growth prospects may suffer if we are unable to develop successful offerings or if we fail to pursue additional offerings. In addition, if we fail to make the right investment decisions in our offerings and technology, we may not attract and retain key users and customers and our revenue, business, financial condition, and results of operations may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industries in which we operate are subject to rapid and frequent changes in standards, technologies, products, and service offerings, as well as in consumer demands and expectations and regulations. We must continuously make decisions regarding which offerings and technology we should invest in to meet user and consumer demand in compliance with evolving industry standards and regulatory requirements, and to grow we must continually introduce and successfully market new and innovative technologies, offerings, and enhancements to remain competitive and effectively stimulate user and customer demand, acceptance, and engagement. Our ability to engage, retain, and increase our user and customer base and to increase our revenue will depend heavily on our ability to successfully create new offerings, both independently and together with third parties. We may introduce significant changes to our existing technology and offerings or develop and introduce new and unproven products, services, and systems, any of which we may have little or no prior development or operating experience. The process of developing new offerings and systems is inherently complex and uncertain, and new offerings may not be well received by users, even if well-reviewed and of high quality. If we are unable to develop technology and products, services, and systems that address users’ needs or enhance and improve our existing technology and offerings in a timely manner, it could have a material adverse effect on our business, financial condition, and results of operations and could cause the value of our securities to decline or become worthless.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intend to continue investing in our research and development efforts to the extent we have sufficient funds to do so, if our new or enhanced offerings fail to engage our users or customers, we may fail to attract or retain users or customers or to generate sufficient revenue, operating margin, or other value to justify our investments, any of which may seriously harm our business. In addition, management may not properly ascertain or assess the risks of new initiatives, and subsequent events may alter the risks that were evaluated at the time we decided to execute any new initiative. Creating additional offerings can also divert our management’s attention from other business issues and opportunities. Even if our new offerings attain market acceptance, those new offerings could exploit the market share of our other product offerings or share of our users’ wallets in a manner that could negatively impact such offerings. Furthermore, such offering expansion will increase the complexity of our business and place an additional burden on our management, operations, technical systems, and financial resources, and we may not recover the often-substantial up-front costs of developing and marketing new offerings or recover the opportunity cost of diverting management and financial resources away from other offerings. In the event of continued growth of our operations, products, or in the number of third-party relationships, we may not have adequate resources, financially, operationally, technologically, or otherwise, to support such growth and the quality of our technology, offerings, or our relationships with third parties could suffer. In addition, failure to effectively identify, pursue, and execute new business initiatives, or to efficiently adapt our processes and infrastructure to meet the needs of our innovations, may adversely affect our business, financial condition, and results of operations and could cause the value of our securities to decline or become worthless. Any new offerings may also require our users to utilize new skills to use our offerings. This could create a lag in adoption of new offerings and new user additions related to any new offerings. To the extent that future users, including those in older demographics, are less willing to invest the time to learn to use our products, and if we are unable to make our products, services, and systems easier to learn to use, our user growth or engagement could be affected, and our business could be harmed. We may develop new products, services and systems that increase user engagement and costs without increasing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may make bad or unprofitable decisions regarding these investments. If competitors offer more attractive offerings, we may lose users or users may decrease their spending on our offerings. Changing player demands, superior competitive offerings, evolving industry standards, or changes in the regulatory environment could render our existing offerings unattractive, unmarketable, or obsolete and require us to make substantial unanticipated changes to our technology or business model. Our failure to adapt to a rapidly changing market or evolving user and customer demands could harm our business, financial condition, and results of operations and could cause the value of our securities to decline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Information Technology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information technology and other systems and services, and any failures, errors, defects, or disruptions in our systems or the availability of our services could diminish our brand and reputation, subject us to liability, disrupt our business, affect our ability to scale our technical infrastructure, and adversely affect our operating results and growth prospects. Our software applications and systems, and the third-party platforms upon which they are made available, could contain undetected errors.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technology infrastructure is critical to the performance of our offerings and to user and customer satisfaction. We have devoted and expect to continue to devote significant resources to network and data security to protect our systems and data and aim to make our operations and our solutions more streamlined, automated, and cost-effective. Despite our expenditures, our systems may not be adequately designed with the necessary reliability and redundancy to avoid performance delays or outages that could be harmful to our business. The measures we take may not be sufficient to prevent or hinder cyber-attacks and protect our systems, data, and user and customer information and to prevent outages, data, or information loss, fraud, and to prevent or detect security breaches, including a disaster recovery strategy for server and equipment failure and back-office systems and the use of third parties for certain cybersecurity services. We have experienced, and we may in the future experience, website disruptions, outages and other performance problems due to a variety of factors, including infrastructure changes, human or software errors and capacity constraints. Such disruptions have not had a material impact on us; however, future disruptions from unauthorized access to, fraudulent manipulation of, or tampering with our computer systems and technological infrastructure, or those of third parties, could result in a wide range of negative outcomes, each of which could materially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application and web-based products may contain errors, bugs, flaws, or corrupted data, and these defects may only become apparent after their launch. If a particular product offering is unavailable when users or customers attempt to access it or navigation through our offerings is slower than they expect, users may be unable to timely acquire their lottery games and may be less likely to use our Platform again, if at all. Furthermore, programming errors, defects, and data corruption could disrupt our operations, adversely affect the experience of our users or customers, harm our reputation, cause our users to stop utilizing our offerings, divert our resources, and delay market acceptance of our offerings, any of which could result in liability to us or harm our business, financial condition, and results of operations and could cause the value of our securities to decline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user and customer base and engagement grow, and the amount and types of offerings we provide grow and evolve, we will need an increasing amount of technical infrastructure, including network capacity and computing power, to satisfy our users’ and customers’ needs. Such infrastructure expansion may be complex, and unanticipated delays in completing these projects or availability of components may lead to increased project costs, operational inefficiencies, or interruptions in the delivery or degradation of the quality of our offerings. In addition, there may be issues related to this infrastructure that are not identified during the testing phases of design and implementation, which may only become evident after we have started to fully use the underlying equipment or software, that could further degrade the user or customer experience or increase our costs. As such, we could fail to effectively scale and grow our technical infrastructure to accommodate increased demands. In addition, our business may be subject to interruptions, delays or failures resulting from adverse weather conditions, other natural disasters, power loss, terrorism, cyber-attacks, public health emergencies, or other catastrophic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if our users or customers have a negative experience with our offerings, or if our brand or reputation is negatively affected, users and customers may be less inclined to utilize our products and services or to recommend our offerings to other potential users and customers. As such, a failure or significant interruption in our service could harm our reputation, business,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Despite our security measures, our information technology and infrastructure may be vulnerable to attacks by hackers, breached due to employee or contractor error, malfeasance, or other cybersecurity risks or disruptions.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regulatory penalties, fines, and the payment of damages, restrictions on our ability to use data, disruption of our operations and the services we provide to users, damage to our reputation, and a loss of confidence in our products, services, and systems, which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secure maintenance and transmission of personally identifiable information of our users is a critical element of our operations. Our information technology and other systems that maintain and transmit user information, or those of our customers, service providers, business partners, or employees may be compromised by a malicious third-party penetration of our network security, or that of a third-party service provider or business partner or impacted by intentional or unintentional actions or inactions by our employees, or those of a third-party service provider or business partner. As a result, our users’ information may be lost, disclosed, accessed, or taken without our users’ consent. We have experienced attempts to breach our systems and other similar incidents in the past and anticipate that it may occur in the future. For example, we expect that we will be subject to attempts to gain unauthorized access to or through our information systems, whether by our employees or third parties, including cyber-attacks by computer programmers and hackers who may develop and deploy viruses, worms or other malicious software programs. To date, attempts to breach our systems have not had a material impact on our business, operations, or financial results, but we cannot provide assurance that they will not have a material impact in the future.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encryption and authentication technology licensed from third parties in an effort to securely transmit confidential and sensitive information, including payment card information. Advances in computer capabilities, new technological discoveries, or other developments may result in the whole or partial failure of this technology to protect transaction data or other confidential and sensitive information from being breached or compromised. In addition, apps and websites are often attacked through compromised credentials, including those obtained through phishing and credential stuffing. Our security measures, and those of our third-party service providers, may not detect or prevent all attempts to breach our systems, denial-of-service attacks, viruses, malicious software, break-ins, phishing attacks, social engineering, security breaches, or other attacks and similar disruptions that may jeopardize the security of information stored in or transmitted by our apps, websites, networks, and systems or that we or such third parties otherwise maintain, including payment card systems, which may subject us to fines or higher transaction fees or limit or terminate our access to certain payment methods. We and such third parties may not anticipate or prevent all types of attacks until after they have already been launched. Further, techniques used to obtain unauthorized access to or sabotage systems change frequently and may not be known until launched against us or our third-party service providers.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distributed ledger technology is an emerging technology that offers new capabilities that are not fully proven in use. As with other novel software products, the computer code underpinning the distributed ledger technology used in our Platform may contain errors, or function in unexpected ways and may cause the software to break or function incorrectly.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security breaches can also occur as a result of non-technical issues, including intentional or inadvertent breaches by our employees or by third parties. These risks may increase over time as the complexity and number of technical systems and applications we use also increases. Breaches of our security measures or those of our third-party service providers or cybersecurity incidents could result in unauthorized access to our sites, networks, and systems; unauthorized access to and misappropriation of user information, including users’ personally identifiable information, or other confidential or proprietary information of ourselves or third parties; viruses, worms, spyware, or other malware being served from our sites, networks, or systems; deletion or modification of content or the display of unauthorized content on our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or litigation, regulatory action, and other potential liabilities. In the past, we have experienced social engineering, phishing, malware, and similar attacks and threats of denial-of-service attacks, none of which to date has been material to our business; however, such attacks could in the future have a material adverse effect on our operations, business, and financial condition. If any of these breaches of security should occur and be material,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party who is able to illicitly obtain access to a user’s account could access the user’s transaction data or personal information, resulting in the perception that our systems are insecure. 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negative impact to our brand and reputation, and a loss of confidence in our security measures, which could have a material adverse effect on our business, financial condition, and results of operations and could cause the value of our securities to decline or become worthless. We plan to continue to devote significant resources to protect against security breaches or we may need in the future to address problems caused by breaches, including notifying affected users in accordance with regulatory requirements and responding to any resulting litigation, which in turn, diverts resources from the growth and expansion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maintain certain information about our users, we are subject to various privacy laws both in the U.S. and internationally. Our failure to comply with such laws could expose us to penalties, fines, and litigation, and it could adversely impact our reputation and brand, any of which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various privacy laws in the U.S. and foreign jurisdictions and we expect that new industry standards, laws and regulations will continue to be proposed regarding privacy, data protection and information security in many jurisdictions, including the California Consumer Privacy Act of 2018, which went effective January 1, 2020 and the California Consumer Privacy Rights Act (“CCPA”), which went effective on January 1, 2023, which impose obligations for the handling, disclosure and deletion of personal information for California residents. Virginia and other states have enacted, or are considering enacting, data privacy laws similar to the CCPA. Certain of these laws, including the CCPA also requires companies to give residents the ability to opt out of the sale of their personal information and creates potential liability for companies that fail to take adequate steps to protect personal information where that failure results in a data breach.</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European Union, the General Data Protection Regulation of 2018 (the “GDPR”) significantly expanded the rules on using personal data and increased the risks of processing personal data. Some of the new requirements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accountability and transparency requirements, which require those who control data to demonstrate and record compliance and provide certain detailed information to users regarding the ways in which data is used and processed;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data consent requirements, which includes “explicit” consent with regard to information the regulation classifies as sensitive data;</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to consider data privacy as new products, services and systems are developed, including ways to limit accessibility of data as well as the amount of information collected, processed, and stored;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constraints on using data to profile users;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to provide users with personal data in a usable format on request and to erase personal data in certain circumstances;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to data protection authorities of potential breaches without undue delay (72 hours, where feasible).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foreign jurisdictions in which the Company operates, or in which it has it services available, have implemented, or are considering implementing, data privacy laws and regulations, many of which are similar to the GDPR. Although we attempt to stay current with such developments in the jurisdictions in which we or our subsidiaries operate, our policies and procedures for compliance with data privacy laws and regulations, may not be up-to-date or implemented correctly or our management, employees or agents. thereby not complying with current procedures. Moreover, our third-party agents in foreign jurisdictions may likewise not implement policies and procedures that are the most current for their jurisdiction, thereby creating a risk factor for us. Failure to comply with data privacy laws and regulations may have serious financial consequences. We could face significant sanctions, statutory damages, and damage to our reputation resulting in a material adverse effect on our results of operations, business,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Regulatory and Compliance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highly regulated industries, and changes in law or regulation could restrict our operations and increase compliance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federal, state and foreign laws and regulations governing, among other things, lottery and gaming activities, promotional programs, digital advertising, consumer protection, data privacy and payment processing. These regulatory regimes are complex and evolving. Changes in laws, regulations, interpretations or enforcement priorities could restrict or prohibit aspects of our business model, require additional approvals or licensure, increase compliance costs, result in fines or penalties, or require cessation of operations in certain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interpretations of federal statutes and related enforcement priorities could materially impair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statutes affecting gaming and related activities, including interpretations of the Wire Act and other federal laws, have been subject to evolving interpretations and enforcement priorities. Although certain appellate decisions have limited the scope of the Wire Act to sports wagering, no definitive ruling from the U.S. Supreme Court exists. An adverse reinterpretation, enforcement action, or related regulatory development could materially restrict aspects of our operations and negatively affect our business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involved in, and may become involved in, litigation, investigations or other legacy matters that may be costly and could adversely affect our liquidity and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subject to, and may continue to be subject to, litigation, regulatory inquiries, investigations and other proceedings, including matters relating to historical events, financial reporting, financing arrangements and related disputes. These matters are inherently uncertain and may result in substantial defense costs, settlements, judgments, penalties, injunctive relief, management distraction and reputational harm. Any adverse outcomes could materially adversely affect our business, financial condition and results of operations.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some jurisdictions our key executives, certain employees, or other individuals related to our business may be subject to licensing or compliance requirements. Failure by such individuals to obtain the necessary licenses or comply with individual regulatory obligations, could cause our business to be non-compliant with such obligations, or imperil our ability to obtain or maintain licenses that may be necessary for the conduct of our business. In some cases, the remedy to such a situation may require the removal of a key executive or employee and the mandatory redemption or transfer of such person’s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determine or be required to secure licenses from regulatory authorities with jurisdiction over lottery operations in new markets in which we contemplate expansion. Such licensure may impose additional obligations on us and our operations, which may include continuous disclosure to and an investigation by the applicable regulatory authority into the financial stability, integrity and business experience of the Company, its affiliates, and their respective significant stockholders, directors, officers, and key employees. In markets in which we have not previously operated or in newly regulated markets, licensing regimes may impose licensing requirements or conditions with which we have not previously been required to comply, which may include locating technical infrastructure within the relevant territory, establishing real-time data interfaces with the regulatory authority, implementing consumer protection, responsible gaming and privacy measures, or additional approvals or certifications of our technology, all of which may present operational challenges and material costs, and any of which may have a material adverse effect on us or our results of operations, cash flow,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that any stockholder, director, officer or key employee is required to submit to required background checks and provide disclosure and fails to do so, or the Company fail to do so to the satisfaction of the relevant regulatory authority, such failure may jeopardize the grant of a license, provide grounds for termination of an existing license, or result in the imposition of penalties. Generally, any person or entity that fails or refuses to apply for a finding of suitability or a license within the prescribed period after being advised by a competent authority that they are required to do so may be denied a license or found unsuitable, as applicable, which may result in our being required to sever our relationship with such person or entity. Further, we may be subject to disciplinary action or suffer revocation of licensure if, following notification that a person or entity is disqualified or unsuitable, we: pay them any dividend or interest upon our shares; (b) allow them to exercise, directly or indirectly, any voting right conferred through the shares they hold; (c) pay them remuneration in any form for services rendered or otherwise; or (d) if required, fail to pursue all lawful efforts to terminate their association with the Company or require them to relinquish their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U.S. jurisdictions, certain stockholders may also be required to file applications or submit to background checks. While such requirements typically apply only to stockholders in excess of certain thresholds (such as five or ten percent of the outstanding shares) or to stockholders who also have an active role in the Company, we cannot ensure that such jurisdictions might not seek licensure of additional stockholders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ensure that our activities will remain in compliance or that we will continue to receive all licenses for which we apply. The failure to receive a license, could have a material adverse effect on us or on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Gaming and lottery authorities may revoke or suspend licenses, levy fines against us, or seize certain of our assets if we violate gaming regulations. We cannot ensure that we will be able to obtain the necessary licenses or approvals or that the licensing process will not result in delays or adversely affect our operations. Disciplinary action against a license holder in one jurisdiction could lead regulators in other jurisdictions to pursue similar action.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ensure that regulatory or governmental authorities will not seek to restrict our business in their jurisdictions or institute enforcement proceedings against us. We cannot ensure that any instituted enforcement proceedings will be favorably resolved, or that such proceedings will not have a material adverse effect on our ability to retain and renew existing licenses or to obtain new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plan to continually develop internal compliance programs and requirements in an effort to ensure that we comply with legal requirements imposed in connection with our activities and generally applicable to all publicly traded companies, however, we cannot ensure that they will prevent the violation of one or more laws in any jurisdiction in which we conduct business, which may have an adverse impact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continually develop internal compliance programs in ongoing efforts to ensure our compliance with legal requirements imposed in connection with our business activities and with legal requirements generally applicable to all publicly traded companies. While we are firmly committed to full compliance with all applicable laws, and plan to continue to establish appropriate procedures and policies, we cannot ensure that our compliance program will prevent the violation of one or more laws or regulations, or that a violation by us, an employee, a customer, a subsidiary or an affiliate will not result in the imposition of a monetary fine or suspension or revocation of one or more of our governmental licenses, findings of suitability, registrations, permits and approvals, which could have a material adverse effect on us or on our results of operations, cash flow,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confident that we will face additional regulatory requirements as we expand, we cannot predict the effect of future regulatory requirements to which our operations might be subject or the manner in which such requirements might be enforced. The compliance policies and procedures we implement may not always be followed at all times by directors, management, employees, agents, partners and other related parties, whether through neglect or intention. Our policies and procedures have not and may not effectively detect and prevent violations of applicable laws by one or more of our directors, management, employees, agents, partners, customers, affiliates, or other related or third parties. As a result, we or our directors, management, employees, agents, partners, customers, affiliates, or other related or third parties could be subject to investigations, criminal and civil penalties, sanctions or other enforcement measures that in turn could have a material adverse effect on our results of operations, cash flow,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take our corporate responsibility to our users, customers, and the requirements of the regulatory authorities in the jurisdictions in which we operate very seriously and are focused on maintaining a safe and responsible gaming environment. Our failure to remain in compliance with underage and responsible gaming requirements or any amendments or additions to such requirements could have a material adverse effect on us, our reputation and brand, or on our business, results of operations,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compliance with the underage and responsible gaming requirements set forth in the domestic and international statutes and regulations in the jurisdictions in which we do business and, as applicable, that govern our operations. We take our corporate responsibility to our users, customers and the regulators in the jurisdictions in which we operate very seriously and are focused on maintaining a safe and responsible gaming environment. We will continue to evaluate and develop our technology to meet the statutory requirements regarding responsible gaming and self-exclusion as well as our own self-imposed objectives regarding corporate social responsibility, as demonstrated by our ongoing compliance objectives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U.S. jurisdictions and most of the foreign jurisdictions in which we operate prohibit online gambling by persons under 18 years of age. We have instituted know-your-customer requirements to aid our efforts in identifying minors and preventing them from using our services. In many cases, these requirements apply to our retailer partners and may not apply to us. Nevertheless, if we fail to abide by these requirements, our partners may be reluctant to do business with us or the applicable regulatory authorities may amend the requirements to apply specifically to us, to the extent that they do not already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jurisdictions, especially foreign jurisdictions, are imposing more stringent rules with regard to underage and responsible gaming. This trend could continue to spread and both U.S. and foreign jurisdictions may strengthen underage and responsible gaming requirements. In the event that any jurisdiction in which we operate mandates additional requirements regarding corporate social responsibility, responsible gaming, self-exclusion, or similar mandates, we may be required to undertake additional technological initiatives to remain in compliance. Implementation of any such initiatives may present operational challenges and material costs and divert the attention of management and our systems developers and engineers, any of which may have a material adverse effect on us or our results of operations, cash flow, or financial condition. The failure to remain in compliance with underage and responsible gaming requirements or any amendments or additions to such requirements could have a material adverse effect on us or on our business, results of operations, or financial condition.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governmental laws and requirements of the U.S. and various foreign jurisdictions in which we operate regarding anti-bribery, anti-corruption, economic and trade sanctions, anti-money laundering, and counter-terror financing. Alleged or actual violation of any of these laws or requirements could negatively impact our brand and reputation, our ability to obtain or maintain any governmental licenses, findings of suitability, registrations, permits, and approvals, any of which could negatively impact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digital company operating within the U.S. and subject to the jurisdiction of various foreign governments and regulatory agencies, we are accordingly subject to domestic and foreign laws regarding anti-bribery, anti-corruption, economic and trade sanctions, anti-money laundering, and counter-terror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our growth plans, including in connection with our intent to expand into new markets and undertake strategic acquisitions when we have sufficient funding to do so, may bring our officers, directors, employees, and representatives into contact with “foreign officials” responsible for issuing or renewing governmental licenses, findings of suitability, registrations, permits and approvals, or for otherwise enforcing governmental regulations and requirements. In our contact with such foreign officials, we are required to comply with anti-corruption laws and regulations imposed by governments around the world with jurisdiction over our operations, which include the U.S. Foreign Corrupt Practices Act (the “FCPA”), and the U.K. Bribery Act 2010 (the “U.K. Bribery Act”), as well as corresponding laws and regulations of the other countries where we do business. The FCPA, the U.K. Bribery Act, and other applicable laws prohibit us and our officers, directors, employees, and business partners acting on our behalf, from corruptly offering, promising, authorizing, or providing anything of value to foreign officials for the purposes of influencing official decisions or obtaining or retaining business or otherwise obtaining favorable treatment. The U.K. Bribery Act also prohibits non-governmental “commercial” bribery and accepting bribes. Our operations, trade practices, investment decisions, and partnering activities may be restricted as a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some of the foreign locations in which we operate lack a developed legal system and may experience elevated levels of corruption. Our foreign operations expose us to the risk of inadvertently violating, or being accused of violating, anti-corruption laws and regulations. Our failure to successfully comply with any such laws and regulations may expose us to brand and reputational harm, as well as significant sanctions, including criminal fines, imprisonment, civil penalties, disgorgement of profits, and injunctions, as well as impacting our ability to maintain or obtain any governmental licenses, findings of suitability, registrations, permits and approvals. Further, investigations of alleged violations can result in substantial costs, fines, or penalties and diversion of our resources. We are continuously developing, monitoring and maintaining the various governmental requirements to comply with applicable anti-corruption laws and regulations, however, there is no certainty that they will effectively prevent violations for which we may be held responsible,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required to comply with U.S. economic and trade sanctions administered by the U.S. Department of Treasury’s Office of Foreign Assets Control (“OFAC”). Our Platform may be accessible from a sanctioned country in violation of applicable trade and economic sanctions. As part of our ongoing compliance efforts, we are implementing requirements to ensure that we do not violate these laws and regulations, however, our failure to adequately fulfill such requirements, fully perform any and all compliance requirements, or otherwise breach any compliance requirements of the OFAC could result in our being subject to penalties, fines or other enforcement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process, support and execute financial transactions as part of our business and disburse funds on behalf of certain of our users, including receiving payment card information and processing payments for and due to our users. Accordingly, we may be subject to various U.S. and foreign government anti-money laundering and counter-terrorist financing laws and regulations that prohibit, among other things, involvement in transferring the proceeds, in whole or in part, for criminal or terrorist activities, including, for example, in the U.S., the Bank Secrecy Act of 1970, as amended (the “BSA”), and certain provisions of the Uniting and Strengthening America by Providing Appropriate Tools Required to Intercept and Obstruct Terrorism Act of 2001 (the “Patriot Act”). Although we have developed a risk-based anti-money laundering program that we are implementing, in the event that we breach any of these laws and regulations that are applicable to us, we could be subject to significant civil fines, penalties, inquiries, audits, investigations, enforcement actions, and criminal and civil liability.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on our part to implement, maintain or follow the necessary processes and policies to comply with these regulations and requirements, or to adapt our processes and policies to changes in laws or regulations would adversely impact our brand and reputation, or our ability to obtain or maintain any governmental licenses, findings of suitability, registrations, permits and approvals, and would negatively impact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domestic and foreign laws relating to processing certain financial transactions, including payment card transactions, and failure to comply with those laws, even if inadvertent,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undertaking certain payment transactions on behalf of certain of our users, including receiving payment card information and processing payments, we have been subject and may continue to be subject to or we may voluntarily comply with a number of rules, laws and regulations relating to privacy and information security, electronic fund transfers, payment services and convenience fees. If we were found to be in violation of applicable rules, laws and regulations, we could be subject to additional liability, including card association and governmental fines or other sanctions, and we could be forced to otherwise change our business practices in certain jurisdictions, or be required to obtain additional licenses or 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procedures and continue to implement policies and procedures to preserve and protect payment data against loss, corruption, misappropriation caused by systems failures, unauthorized access or misuse. However, to the extent we retain our user’s data, we could be subject to liability claims by users for the misuse of that information, which could negatively impact our ability to utilize certain payment cards, or undertake certain transactions, which could disrupt our business. Failure to comply with these rules and laws may subject us to, among other things, additional costs or changes to our business practices, liability for monetary damages, fines or criminal prosecution, reputation and brand damage, and restrictions on our ability to process and support financial transactions, any of which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and other regulatory authorities may successfully assert that we have not properly collected or remitted withholding taxes, and as a result may successfully impose additional obligations, fines, penalties or other financial liability on us, any of which could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tax rules generally require payers to report payments to unrelated parties to the Internal Revenue Service. In the event of our failure to comply with such reporting obligations, due to failure in the application of our judgment in evaluating our obligations, our effective compliance with our internal process and its execution, or with respect to the process and manner in which we calculate and remit amounts due and owing to taxing authorities timely or at all, could subject us to brand and reputational damage, fines, penalties, and other financial liability, any of which could harm our business, financial condition, and results of operations and could cause the value of our securities to decline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instances, we have collected and remitted applicable withholding taxes in the claims and redemption process. Regulatory and tax authorities may raise questions about, or challenge or disagree with, this practice, or in the application of our judgment in evaluating our obligations, our effective compliance with our internal process and its execution, or with respect to the process and the manner in which taxes are calculated, remitted and withheld as a result. A successful assertion by one or more regulatory or tax authorities requiring us to alter our practice could result in brand and reputational damage, fines, penalties and other financial liability, or discourage our users and commercial partners from using our Platform, any of which could harm our business, financial condition, and results of operations and could cause the value of our securities to decline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Human Capital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will depend on our ability to hire employees in the future. Recruitment and retention of these individuals is vital to growing our business and our executing our business plans. The loss of any of our key executives or other key employees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those employed in our foreign subsidiaries (e.g. Veloce Esports Ltd. (“Veloce”), Aganar and JuegaLotto), we currently have nine employees who manage and operate our business, including our Interim Chief Executive Officer, Chief Financial Officer and Chief Operating Officer, other employees as well as key outside contractors. While we have experienced significant turnover of our executive officers in past years, we expect that the leadership of our current key executives and employees will be a critical element of our success in the future. The departure, death or disability of any one of our executive officers or employees or other extended or permanent loss of any of their services, or any negative market or industry perception with respect to any of them or their loss,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failure to retain current, or hire new employees in the future may limit our ability to restart our business operations and generate revenue. We believe our success and our ability to compete and grow will depend in large part on the efforts and talents of our current and future employees and on our ability to retain highly skilled personnel. The competition for these types of personnel is intense and we compete with other potential employers for the services of appropriately skilled employees. As a result, we may not succeed in hiring and retaining the executives and other key employees that we need. Employees, particularly highly skilled developers and engineers are in high demand, and we will need to devote significant resources to identifying, hiring, training, successfully integrating and retaining such employees, including significant financial resources, which we may not have when needed. We cannot provide assurance that we will be able to attract or retain such highly qualified personnel in the future. In addition, the loss of future employees or the inability to hire skilled employees as necessary could result in significant disruptions to our business, and the integration of replacement personnel could be time-consuming and expensive and cause additional disruptions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succeed in attracting, hiring, and integrating excellent personnel, or retaining and motivating existing personnel, we may be unable to grow effectively and our business, financial condition and results of operations could be seriously harmed.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Risks Relating to our Dependence on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technology contains third-party open-source software components, and failure to comply with the terms of the underlying open-source software licenses could restrict our ability to provide our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technology contains software modules licensed to us by third-party authors under “open source” licenses, including the distributed ledger technology, which we currently use and intend to continue to use in our Platform. Use and distribution of open-source software may entail greater risks than use of third-party commercial software, as open-source licensors generally do not provide support, warranties, indemnification or other contractual protections regarding infringement claims or the quality of the code. In addition, the public availability of such software may make it easier for others to compromise our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open-source licenses contain requirements that we make available source code for modifications or derivative works we create based upon the type of open-source software we use or grant other licenses to our intellectual property. If we combine our software with open-source software in a certain manner, we could, under certain open-source licenses, be required to release the source code of our software to the public. This would allow our competitors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monitor our use of open-source software to avoid subjecting our technology to conditions we do not intend, the terms of many open-source licenses have not been interpreted by U.S. or foreign courts, and there is a risk that these licenses could be construed in a way that could impose unanticipated conditions or restrictions on our ability to provide or distribute our technology. From time to time, there have been claims challenging the ownership of open-source software against companies that incorporate open-source software into their solutions. As a result, we could be subject to lawsuits by parties claiming ownership of what we believe to be open-source software. Moreover, we cannot assure you that our processes for controlling our use of open-source software in our technology will be effective. If we are held to have breached or failed to fully comply with all the terms and conditions of an open source software license, we could face infringement or other liability, or be required to seek costly licenses from third parties to continue providing our offerings on terms that are not economically feasible, to re-engineer our technology, to discontinue or delay the provision of our offerings if re-engineering could not be accomplished on a timely basis or to make generally available, in source code form, our proprietary code, any of which could adversely affect our business, financial condition, and results of operations and could cause the value of our securities to decline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cannot license rights to use third-party technologies on reasonable terms, we may not be able to commercialize new products or services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license third-party technology to develop or commercialize new products or offer new services. In return for the use of a third-party’s technology, we may agree to pay the licensor royalties based on sales of our products or services. Royalties are a component of cost of revenue and affect the margins on our products. We may also need to negotiate licenses to use third-party intellectual property.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relationships with lottery organizations from which we acquire lottery data information for the provision of our Data Services. Loss of existing relationships or failure to expand existing relationships may cause loss of competitive advantage or require us to modify, limit or discontinue certain offerings, which could materially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relationships with lottery organizations from which we acquire rights to collect and supply lottery data that we provide to our users and customers. The future success of our Data Service business may depend, in part, on our ability to obtain, retain and expand relationships with lottery organizations. We have arrangements with lottery organizations for rights to their data. Our arrangements with lottery organizations may not continue to be available to us. In the event that we lose existing arrangements or cannot continue and expand existing arrangements, we may lose our competitive advantage or be required to discontinue or limit our offerings or services. The loss of such arrangements may cause loss of competitive advantage and could materially adversely affect our financial condition,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Risks Relating to Future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strategy anticipates substantial growth, and if we fail to adequately scale product offerings and manage our entry into new territories, our business and reputation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strategy contemplates substantial growth in our user and customer base, and a strategy to capture a larger share of a dynamic lottery market and shifting demographic, primarily in the U.S. but internationally as well. Our growth has previously placed, and is expected to continue to place, a significant strain on our managerial, administrative, operational and financial resources and our infrastructure. Our future success will depend, in part, upon the ability of our senior management to manage growth effectively. This will require us to, among other things:</w:t>
      </w:r>
    </w:p>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185"/>
        <w:gridCol w:w="903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 additional management information systems;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0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develop our operating, administrative, legal, compliance, financial and accounting system and controls;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additional qualified personnel and develop human capital;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additional regulatory regimes, securing licenses, findings of suitability, registrations, permits and approvals;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close coordination among our engineering, operations, legal, compliance, finance, sales and marketing and customer service and support organizations.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accomplish any of these requirements could adversely affect our ability to deliver our product, service, and systems offerings in a timely fashion, fulfill existing commitments or attract and retain new users and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difficulties as we expand our operations into new markets in which we have limited or no prior operating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capacity for growth depends, in part, on our ability to expand our operations into, and compete effectively in, new local entertainment, gaming and Online Lottery markets. It may be difficult for us to understand and accurately predict consumer preferences and spending habits in these new local markets. In addition, each market has unique regulatory dynamics. These include laws and regulations that can directly or indirectly affect our ability to operate. In addition, each market is subject to distinct competitive and operational dynamics. These include our ability to offer more attractive products, services and systems than alternative options and our ability to efficiently attract and retain users and customers, all of which affect our sales, results of operations, and key business metrics. As a result, we may experience fluctuations in our results of operations due to the changing dynamics in the local markets where we operate. If we invest substantial time and resources to expand our operations and are unable to manage these risks effectively, our business, financial condition, and results of operations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International Operations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international scope of our operations may expose us to increased legal and regulatory risks, and our international operations and corporate and financing structure may expose us to potentially adverse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international operations, including in Mexico as a result of the closing of our acquisition in June 2021 of Global Gaming Enterprises, Inc., which is a majority stockholder of Electronicos y de Comunicacion, S.A.P.I de C.V. and JuegaLotto, S.A. de C.V. . The Company has launched additional international operations Sports.com Media Group Ltd., Sports.com Studios Ltd., Lottery.com International Ltd. and completed the acquisition of a majority interest in Veloce Esports Limited. Accordingly, our business is subject to risks resulting from differing legal and regulatory requirements, political, social and economic conditions, and unforeseeable developments in a variety of jurisdictions. Our international operations are subject to the following risks,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instability;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hostilities, military actions, wars, terrorist or cyber-terrorist activities, natural disasters, pandemics, and infrastructure disruptions;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economic cycles and adverse economic conditions;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changes in regulatory environments including lottery and gaming, data privacy and advertising laws and regulations;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economic and anti-money laundering sanctions, laws and regulations;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varying tax regimes, including with respect to the imposition of withholding taxes on remittances and other payments by our partnerships or subsidiaries;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labor regulations;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controls and restrictions on repatriation of funds;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collect payments or seek recourse under or comply with ambiguous or vague commercial or other laws;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insufficient protection against product piracy and rights infringement and differing protections for intellectual property rights;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varying attitudes towards lottery games and betting by foreign governments;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attracting and retaining qualified management and employees, or rationalizing our workforce;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business practices, which may require us to enter into agreements that include non-standard terms;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penetrating new markets due to entrenched competitors, lack of recognition of our brands or lack of local acceptance of our products, services and systems.</w:t>
            </w:r>
          </w:p>
        </w:tc>
      </w:tr>
    </w:tbl>
    <w:p>
      <w:pPr>
        <w:pStyle w:val="TextBody"/>
        <w:bidi w:val="0"/>
        <w:spacing w:before="0" w:after="0"/>
        <w:ind w:left="340" w:right="0" w:hanging="332"/>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overall success as a global business depends, in part, on our ability to anticipate and effectively manage these risks, and there can be no assurance that we will be able to do so without incurring unexpected costs. If we are not able to manage the risks related to our international operations, our business, financial condition, and results of operations may be materially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expanded our presence internationally, and any future actions or escalations that affect trade relations may cause global economic turmoil and potentially have a negative impact on our business. In particular, we may have access to fewer business opportunities and our international operations may be negatively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intended growth of the international scope of our operations and our corporate and financing structure, we may become subject to taxation in, and to the tax laws and regulations of, multiple jurisdictions. Adverse developments in these laws or regulations, or any change in position regarding the application, administration or interpretation of these laws or regulations in any applicable jurisdiction, could have a material adverse effect on our business, financial condition and results of operations. Furthermore, changes in or to the interpretation of the tax laws or tax treaties of the countries in which we operate may adversely affect the manner in which we have structured our business operations and legal entity structure to efficiently realize income or capital gains and mitigate withholding taxes and may also subject us to tax and return filing obligations in such countries that do not currently apply to us. Such changes may increase our tax burden or may cause us to incur additional costs and expenses in compliance with such changes. In addition, the tax authorities in any applicable jurisdiction may disagree with the positions we have taken or intend to take regarding the tax treatment or characterization of any of our transactions, including the tax treatment or characterization of our indebtedness. If any applicable tax authorities were to successfully challenge the tax treatment or characterization of any of our transactions, it could result in the disallowance of deductions, the imposition of withholding taxes, the reallocation of income or other consequences that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U.S. Congress, the U.K. Government, the Organization for Economic Co-operation and Development (the “OECD”), and other government agencies have had an extended focus on issues related to the taxation of multinational corporations. Further, the introduction of a digital services tax, such as the U.K. digital services tax, may increase our tax burden, which could adversely affect our business, financial condition and results of operations. Finally, the international scope of our business operations could subject us to multiple overlapping tax regimes that can make it difficult to determine what our obligations are in particular situations.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Fluctuating foreign currency and exchange rates may negatively impact our business, results of operations, and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foreign operations, a portion of our business is denominated in foreign currencies. As a result, fluctuations in foreign currency and exchange rates may have an impact on our business, results of operations and financial position. Foreign currency exchange rates have fluctuated and may continue to fluctuate. Significant foreign currency exchange rate fluctuations may negatively impact our international revenue, which in turn would affect our consolidated revenue. Currencies may be affected by internal factors, general economic conditions and external developments in other countries, all of which can have an adverse impact on a country’s currency. Currently, we are not party to any hedging transactions intended to reduce our exposure to exchange rate fluctuations. We may seek to enter into hedging transactions in the future, but we may be unable to enter into these transactions successfully, on acceptable terms or at all. We cannot predict whether we will incur foreign exchange losses in the future. Further, significant foreign exchange fluctuations resulting in a decline in the respective local currency may decrease the value of our foreign assets, as well as decrease our revenues and earnings from our foreign subsidiaries, which would reduce our profitability and adversely affect our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Intellectual Property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protect our intellectual property and proprietary rights or prevent its unauthorized use by third parties, our ability to compete in the market or our business, financial condition, and results of operations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and continue to seek to protect our intellectual property to ensure that our competitors do not use such intellectual property. However, intellectual property laws in the U.S. and in other jurisdictions may afford differing and limited protection, may not permit us to gain or maintain a competitive advantage, and may not prevent our competitors from duplicating our products, designing around our proprietary products or technology, or gaining access to our proprietary information and technology, and are costly and time consuming.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may depend, in part, on our ability to obtain trademark protection for the names or symbols under which we market our products and to obtain copyright protection, which may not always be successful. Also, we are continually evaluating opportunities to file patents. Any future patent applications we hold or have rights to may not result in an issued patent, and if patents are issued, they may not necessarily provide meaningful protection against competitors and competitive technologies or adequately protect our then-current technologies. Additionally, even if granted, we may not be able to build and maintain goodwill in our trademarks or obtain trademark or patent protection, and there can be no assurance that any trademark, copyright, or issued patent will provide competitive advantages for us or that our intellectual property will not be successfully challenged or circumvented by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one trademark, “Lottery.com”, registered with the U.S. Patent and Trademark Office. As of December 31, 2025, the registrations of our LOTTERY.COM word marks was pending with the U.S. Patent and Trademark Office. We are also using or have common-law trademark rights in the trademarks AUTOLOTTO, SPORTS.COM, CONCERTS.COM, TICKETSTUB, and “TAP, TAP, TICKET.”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prevent the unauthorized disclosure or use of our technical knowledge or trade secrets. For example, there can be no assurance that consultants, vendors, partners, former employees, or current employees and contractors will not breach their obligations regarding non-disclosure and restrictions on use. Anyone could seek to challenge, invalidate, circumvent, or render unenforceable any trademark or patent that we seek protection over in the future. We may not be able to detect the unauthorized use of our intellectual property, prevent breaches of our cybersecurity efforts, or take appropriate steps to enforce our proprietary or intellectual property rights effectively. In addition, certain contractual provisions, including restrictions on use, copying, transfer, and disclosure of software, may be unenforceable under the laws of certain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enforce our intellectual property rights, and from time to time may initiate claims against third parties that we believe are infringing our intellectual property rights. Litigation brought to protect and enforce our intellectual property rights could be costly, time-consuming, and distracting to management, could fail to obtain the results sought, and could have a material adverse effect on our results of operations, business, and financial condition.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intellectual property rights of others, including claims of third parties that we are infringing on their intellectual property and proprietary rights, may prevent us from developing new products, services and systems, entering new markets or may expose us to significant license fees, liability, or costly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continually adapt our business activities, products, services, and systems to incorporate new technologies and to expand into entertainment and gaming markets that may be created by new technologies. If technologies are protected by the intellectual property rights of others, including our competitors, we may be prevented from introducing products, services or systems based on these technologies or expanding into markets created by these technologies. If the intellectual property rights of others prevent us from taking advantage of innovative technologies, our prospects, results of operations, cash flows, and financial condition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activities, products, services, and systems may infringe upon the proprietary rights of others, and other parties may assert infringement claims against us. In addition to infringement claims, third parties may allege claims of invalidity or unenforceability against us or against our licensees or manufacturers in connection with their use of our technology. A successful challenge to, or invalidation of, one of our intellectual property interests, a successful claim of infringement by a third party against us, our business activities, products, services and systems, or one of our licensees in connection with the use of our technologies, or an unsuccessful claim of infringement made by us against a third party or its business activities, products, services and systems could adversely affect our business or cause us financial harm. Any such claim and any resulting litigation, should it occur, could: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expensive and time consuming to defend or require us to pay significant amounts in damages;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invalidate our proprietary rights;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us to cease making, licensing or using products, services or systems that incorporate the challenged intellectual property;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redesign, reengineer or rebrand our products, services or systems or limit our ability to bring new products, services or systems to the market in the future;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enter into costly or burdensome royalty, licensing or settlement agreements in order to obtain the right to undertake a business activity or use a product, process or component;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the commercial viability of the products, services and systems that are the subject of the claim during the pendency of such claim;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by way of injunction to remove products, services, or systems or stop implementing the business practice, or stop selling or offering new products,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Legal Proceedings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party to pending litigation and investigations in various jurisdictions and with various plaintiffs and we may be subject to future litigation or investigations in the operation of our business. An adverse outcome in one or more proceedings could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and have been party to, and we may in the future increasingly face the risk of, claims, lawsuits, investigations, and other proceedings, including those which may involve securities, competition and antitrust, anti-money laundering, OFAC, regulatory, lottery or gaming, intellectual property, privacy, consumer protection, accessibility claims, tax, labor and employment, commercial disputes, services and other matters. Litigation to defend us against claims by third parties, or to enforce any rights that we may have against third parties, may be necessary, which could result in substantial costs, fines or penalties and diversion of our resources, causing a material adverse effect on our business, financial condition, and results of operations and could cause the value of our securities to decline or become worthless. For example, as described in more detail in Item 3. Legal Proceedings, the TinBu Plaintiffs (as defined below) filed a claim against the Company for breach of contract and misrepresentation. If the lawsuit results in an unfavorable judgment against the Company, our Data Services business could be negatively impacted, and we may lose some of TinBu’s well-known clients. In addition, defending against these claims will require the Company to expend substantial time and money, which could divert management attention from restarting operations.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litigation to which we are a party may result in an onerous or unfavorable judgment that may not be reversed upon appeal, or in payments of substantial monetary damages or fines, the posting of bonds requiring significant collateral, letters of credit or similar instruments, or we may decide to settle lawsuits on similarly unfavorable terms. These proceedings could also result in reputational harm and brand damage, criminal sanctions, consent decrees or orders preventing us from offering certain products or requiring a change in our business practices in costly ways or requiring development of non-infringing or otherwise altered products or technologies. Litigation and other claims and regulatory proceedings against us could result in unexpected disciplinary actions, expenses and liabilities, which could have a material adverse effect on our business, financial condition, and results of operations and could cause the value of our securities to decline or become worthless. See Item 3. Legal Proceedings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perform under agreements regarding our Platform or our Data Services, affiliate agreements, or other contracts that we are party to may result in litigation, substantial monetary liquidated damages and contract termination, which would materially and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may subject us to contractual penalties and risks of litigation, including due to potential allegations that we have not fully performed under contracts. Agreements with lottery authorities under which lottery tickets are sold as a retail vendor typically permit a lottery authority to terminate the contract at any time for material failure to perform, other specified reasons and, in many cases, for no reason at all. These contracts also frequently contain exacting implementation schedules and performance requirements and the failure to meet these schedules and requirements may result in monetary liquidated damages, as well as possible contract termination. Additionally, we are party to agreements that may include monetary liquidated damages provisions in the event of our material default thereunder. Material amounts of liquidated damages could be imposed on us in the future, which could, if imposed, have a material adverse effect on our results of operations, business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recover amounts owed to us from J. Streicher Financial,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29, 2022, the Company filed an original </w:t>
      </w:r>
      <w:r>
        <w:rPr>
          <w:rFonts w:ascii="Times New Roman;Times;Serif" w:hAnsi="Times New Roman;Times;Serif"/>
          <w:b w:val="false"/>
          <w:i/>
          <w:caps w:val="false"/>
          <w:smallCaps w:val="false"/>
          <w:sz w:val="20"/>
        </w:rPr>
        <w:t>Verified Complaint for Breach of Contract and Specific Performance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Complaint</w:t>
      </w:r>
      <w:r>
        <w:rPr>
          <w:rFonts w:ascii="Times New Roman;Times;Serif" w:hAnsi="Times New Roman;Times;Serif"/>
          <w:b w:val="false"/>
          <w:i w:val="false"/>
          <w:caps w:val="false"/>
          <w:smallCaps w:val="false"/>
          <w:sz w:val="20"/>
        </w:rPr>
        <w:t>”) against J. Streicher Financial, LLC (“</w:t>
      </w:r>
      <w:r>
        <w:rPr>
          <w:rFonts w:ascii="Times New Roman;Times;Serif" w:hAnsi="Times New Roman;Times;Serif"/>
          <w:b w:val="false"/>
          <w:i w:val="false"/>
          <w:caps w:val="false"/>
          <w:smallCaps w:val="false"/>
          <w:sz w:val="20"/>
          <w:u w:val="single"/>
        </w:rPr>
        <w:t>Streicher</w:t>
      </w:r>
      <w:r>
        <w:rPr>
          <w:rFonts w:ascii="Times New Roman;Times;Serif" w:hAnsi="Times New Roman;Times;Serif"/>
          <w:b w:val="false"/>
          <w:i w:val="false"/>
          <w:caps w:val="false"/>
          <w:smallCaps w:val="false"/>
          <w:sz w:val="20"/>
        </w:rPr>
        <w:t>”) in the Court of Chancery of the State of Delaware (the “</w:t>
      </w:r>
      <w:r>
        <w:rPr>
          <w:rFonts w:ascii="Times New Roman;Times;Serif" w:hAnsi="Times New Roman;Times;Serif"/>
          <w:b w:val="false"/>
          <w:i w:val="false"/>
          <w:caps w:val="false"/>
          <w:smallCaps w:val="false"/>
          <w:sz w:val="20"/>
          <w:u w:val="single"/>
        </w:rPr>
        <w:t>Chancery Court</w:t>
      </w:r>
      <w:r>
        <w:rPr>
          <w:rFonts w:ascii="Times New Roman;Times;Serif" w:hAnsi="Times New Roman;Times;Serif"/>
          <w:b w:val="false"/>
          <w:i w:val="false"/>
          <w:caps w:val="false"/>
          <w:smallCaps w:val="false"/>
          <w:sz w:val="20"/>
        </w:rPr>
        <w:t xml:space="preserve">”). In its Complaint, the Company alleged that Streicher breached a contract entered into by the parties on March 9, 2022, and demanded that Streicher return $16,500,000 it owes to the Company. On September 26, 2022, the Chancery Court entered an order in favor of the Company, </w:t>
      </w:r>
      <w:r>
        <w:rPr>
          <w:rFonts w:ascii="Times New Roman;Times;Serif" w:hAnsi="Times New Roman;Times;Serif"/>
          <w:b w:val="false"/>
          <w:i/>
          <w:caps w:val="false"/>
          <w:smallCaps w:val="false"/>
          <w:sz w:val="20"/>
        </w:rPr>
        <w:t xml:space="preserve">Granting with Modifications Company’s Motion for Partial Summary Judgment </w:t>
      </w:r>
      <w:r>
        <w:rPr>
          <w:rFonts w:ascii="Times New Roman;Times;Serif" w:hAnsi="Times New Roman;Times;Serif"/>
          <w:b w:val="false"/>
          <w:i w:val="false"/>
          <w:caps w:val="false"/>
          <w:smallCaps w:val="false"/>
          <w:sz w:val="20"/>
        </w:rPr>
        <w:t>in the amount of $16,500,000 (the “</w:t>
      </w:r>
      <w:r>
        <w:rPr>
          <w:rFonts w:ascii="Times New Roman;Times;Serif" w:hAnsi="Times New Roman;Times;Serif"/>
          <w:b w:val="false"/>
          <w:i w:val="false"/>
          <w:caps w:val="false"/>
          <w:smallCaps w:val="false"/>
          <w:sz w:val="20"/>
          <w:u w:val="single"/>
        </w:rPr>
        <w:t>Judgment</w:t>
      </w:r>
      <w:r>
        <w:rPr>
          <w:rFonts w:ascii="Times New Roman;Times;Serif" w:hAnsi="Times New Roman;Times;Serif"/>
          <w:b w:val="false"/>
          <w:i w:val="false"/>
          <w:caps w:val="false"/>
          <w:smallCaps w:val="false"/>
          <w:sz w:val="20"/>
        </w:rPr>
        <w:t>”). On October 27, 2022, the Chancery Court further awarded the Company $397,036.94 in attorney’s fees (the “</w:t>
      </w:r>
      <w:r>
        <w:rPr>
          <w:rFonts w:ascii="Times New Roman;Times;Serif" w:hAnsi="Times New Roman;Times;Serif"/>
          <w:b w:val="false"/>
          <w:i w:val="false"/>
          <w:caps w:val="false"/>
          <w:smallCaps w:val="false"/>
          <w:sz w:val="20"/>
          <w:u w:val="single"/>
        </w:rPr>
        <w:t>Fee Order</w:t>
      </w:r>
      <w:r>
        <w:rPr>
          <w:rFonts w:ascii="Times New Roman;Times;Serif" w:hAnsi="Times New Roman;Times;Serif"/>
          <w:b w:val="false"/>
          <w:i w:val="false"/>
          <w:caps w:val="false"/>
          <w:smallCaps w:val="false"/>
          <w:sz w:val="20"/>
        </w:rPr>
        <w:t>”). On November 15, 2022, the Company initiated efforts against Streicher to seek collections on the Judgment and Fee Order. The Company subsequently engaged a collection firm to pursue Streicher as a judgment debtor on behalf of Company. Since being engaged, the collection firm has sought collections on Streicher by noticing Judgment-Debtor for Deposition by Oral Examination in Aid of Judgment and seeking post-judgment discovery, including interrogatories and requests for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effort to avoid post-judgment discovery, Streicher indicated a willingness to pay the judgment over time with interest and attempted to negotiate a settlement and forbearance agreement with the Company. Streicher’s original deadline to produce documents and respond to the post-judgment discovery was January 16, 2023, and the Deposition was scheduled to take place on January 19, 2023. On January 20, 2023, faced with post-judgment discovery and depositions, Streicher remitted a partial payment towards the Judgment in the amount of $75,000. On February 13, 2023, Streicher made another payment towards the Judgment in the amount of $50,000 and agreed to make another payment in the amount of $75,000 on February 28, 2023. Streicher failed to remit the payment on February 28, 2023, and as a result, the Company proceeded with the post-judgment discovery and depositions, which was scheduled for March 16, 2023, however Streicher did not appear at such hearing. The Company intends to fully collect on the Judgment and intends to pursue all legal and equitable means to enforce the Judgment against Streicher until the Judgment is fully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never collect the full amount of the judgment, the costs of collecting the judgment, including additional legal fees may be material, and Streicher may not have funds to pay us amounts due or make seek bankruptcy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details are available in Item 3. Legal Proceedings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Public Company Operating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internal control over financial reporting; our remediation efforts may not be successful.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disclosed material weaknesses in our internal control over financial reporting. Although we have implemented and will continue implementing additional remediation measures, we may be unable to remediate these weaknesses in a timely manner or at all. Failure to remediate could result in inaccurate financial reporting, additional restatements, inability to timely file required reports, increased audit and compliance costs, regulatory scrutiny, loss of investor confidence and a decline in our stock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 company strain our limited resources, and our compliance costs may be higher than expected.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incur significant legal, accounting, compliance and other costs and are subject to reporting, internal controls and corporate governance requirements under the Exchange Act, Sarbanes-Oxley, Dodd-Frank, SEC rules and Nasdaq listing standards. Compliance can be costly and time-consuming and may divert management attention. Our costs may increase further as we cease to qualify as an “emerging growth company,” including with respect to internal control requirements, audit fees and financial reporting complexity. If we fail to meet these obligations, we could face regulatory action, investor litigation, loss of investor confidence and declines in the trading price of our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Risks Relating to Our Charter Documents and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Charter includes certain redemption rights which may negatively affect the value our common stock and other securities or result in the redemption of shares of common stock or other securities held by certain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Amended and Restated Certificate of Incorporation (our “Charter”) provides that any shares of capital stock, bonds, notes, convertible debentures, options, warrants or other instruments that represent a share of equity of the Company, a debt owed by the Company or the right to acquire any of the foregoing (for purposes of this section, the “Redeemable Securities”), owned or controlled by a record or beneficial holder of the Company’s Redeemable Securities or an affiliate thereof who or that (i) fails or refuses to participate in good faith in an investigative process of, or submit documents, give notices or make filings requested or required by, any Regulatory Authority (as such term is defined in the Charter), (ii) is denied or disqualified by any regulatory authority from receiving or holding any Regulatory Approval (as such term is defined in the Charter)), (iii) is determined by a regulatory authority or by the Board, based on advice of counsel or verifiable information received from any Regulatory Authority, to be disqualified or unsuitable to own or control any Redeemable Securities or to be associated or affiliated in any capacity with the Company, its affiliates, or the business and activities of the Company and its affiliates in any Applicable Jurisdiction (as such term is defined in the Charter), (iv) causes the Company or any of its affiliates to lose or to be threatened with the loss of any Regulatory Approval, or (v) is deemed likely by the Board, based on advice of counsel or verifiable information received from any Regulatory Authority, by virtue of such holder’s ownership or control of Redeemable Securities or association or affiliation with the Company or its affiliates, to jeopardize, impede, impair or adversely affect the ability of the Company’s or any of its affiliates to obtain, maintain, hold, use or retain any Regulatory Approval or to cause or result in the suspension, disapproval, termination, non-renewal or loss of any Regulatory Approval (each of such holders or an affiliate of such holder, a “Disqualified Holder”) shall be subject to redemption by the Company (as described in the Charter) as and to the extent required by a Regulatory Authority or deemed necessary or advisable by the Company’s Board.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Regulatory Authority requires the Company, or the Board deems it necessary or advisable, to cause any such Redeemable Securities be subject to redemption, we will deliver a redemption notice (as described in the Charter) to the Disqualified Holder or its affiliate(s) (as applicable) and shall purchase the number and type of Redeemable Securities specified in the redemption notice for the redemption price, as defined and determined in accordance with the Charter and set forth in the redemption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on the date that a regulatory authority serves notice of a determination of disqualification or unsuitability of a holder of Redeemable Securities, or the Board otherwise determines that a person is a Disqualified Holder, and until the Redeemable Securities owned or controlled by such person are owned or controlled by a person who is not a Disqualified Holder, the Disqualified Holder and any affiliates of such Disqualified Holder shall not be entitled to: (i) exercise, directly or indirectly, any voting rights conferred by such Redeemable Securities or otherwise participate in the management of the business or affairs of the Company or our affiliates; (ii) receive any dividends or share of distribution of profits or cash or any other property of, or payments upon dissolution of, the Company or our affiliates, other than payment for the redemption of the Redeemable Securities as described in the Charter; or (iii) receive any remuneration in any form from the Company or any of our affiliates, for services rendered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redemption of Redeemable Securities shall be effectuated pursuant to the Charter without the receipt of the regulatory approvals required. From and after the redemption date, the Redeemable Securities shall no longer be deemed outstanding, such Disqualified Holder shall cease to be a stockholder with respect to such Redeemable Securities and all rights of such Disqualified Holder (other than the right to receive the redemption price) shall cease.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the redemption rights set forth in our Charter may result in the value of the Redeemable Securities being less than they would without the existence of such rights, may prevent the sale or transfer of such Redeemable Securities, and may result in a holder of Redeemable Securities receiving less value for such Redeemable Securities upon the redemption thereof as they would, had such Redeemable Securities not been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court may find that part or all of the provisions included in our Charter pertaining to the redemption right with respect to capital stock held by any stockholders who are deemed to be “disqualified” or “unsuitable” holders is not enforceable, either in general or as to a particular fact situation.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laws of the State of Delaware, our jurisdiction of incorporation, a corporation may provide in its certificate of incorporation for the number of securities that may be owned by any person or group of persons for the purpose of maintaining any statutory or regulatory advantage or complying with any statutory or regulatory requirements under applicable law. Delaware law provides that ownership limitations with respect to shares of our stock issued prior to the effectiveness of our Charter will be effective against (i) stockholders with respect to shares that were voted in favor of the proposed provision; and (ii) purported transferees of shares that were voted for the proposed provision if (a) the transfer restrictions are conspicuously noted on the certificate(s) representing such shares, or (b) the transferee had actual knowledge of the transfer restrictions (even absent such conspicuous notation). The shares of common stock, par value $0.001 per share issued after the effective date of our Charter were issued with the ownership limitation conspicuously noted on the certificate(s) representing such shares and therefore under Delaware law such newly issued shares will be subject to the transfer restriction. We have also disclosed such restrictions to persons holding our stock in uncertificated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the provision pertaining to the redemption right with respect to capital stock held by any stockholders who are deemed to be “disqualified” or “unsuitable” holders is enforceable under all circumstances, particularly against stockholders who did not vote in favor of the proposed provision, who do not have notice of the ownership limitations at the time they subsequently acquire their shares, or who acquire shares that were owned, at the time of the vote on the provision, by a stockholder (or stockholders) who did not vote such shares in favor of the proposed provision. Accordingly, we cannot assure you that we would be able to redeem the shares of a stockholder deemed an unsuitable person by applicable regulatory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Claims for indemnification by our directors and officers may reduce our available funds to satisfy successful third-party claims against us and may reduce the amount of money available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and our amended and restated bylaws (the “Bylaws”) provide that we will indemnify our directors and officers, in each case to the fullest extent permitted by Delaware law. In addition, as permitted by Section 145 of the Delaware General Corporation Law (the “DGCL”), our Charter, Bylaws and our indemnification agreements that we have entered into with our directors and officers provide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under the DGCL, our directors will not be personally liable to the Company or its stockholders for monetary damages for breach of fiduciary duty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indemnify our directors and officers for serving us in those capacities or for serving other business entities at our request, to the fullest extent permitted by the DGCL. The DGCL provides that a corporation may indemnify such person if such person acted in good faith and in a manner such person reasonably believed to be in or not opposed to the best interests of the corporation and, with respect to any criminal action or proceeding, had no reasonable cause to believe such person’s conduct was unlawful.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our discretion, indemnify employees and agents in those circumstances where indemnification is permitted by applicable law and such person was made a party to an action, suit or proceeding, by reason of the fact that he or she is or was an employee or agent of the Company.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obligated pursuant to the indemnification agreements entered into with our directors and executive officers to indemnify a person with respect to proceedings initiated by that person, except with respect to proceedings to enforce an indemnitee right to indemnification or advancement of expenses, proceedings authorized by our board of directors and if offered by us in our sole discretion.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conferred in our Charter are not exclusive, and we are authorized to enter into indemnification agreements with our directors, officers, employees and agents and to obtain insurance to indemnify such persons.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retroactively amend our Charter or indemnification agreement provisions to reduce our indemnification obligations to directors, officers, employees and agents.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provisions, if an investor were able to enforce an action against our directors or officers, in all likelihood, we would be required to pay any expenses they incurred in defending the lawsuit and any judgment or settlement they otherwise would be required to pay. This could lead to us incurring substantial expenditures to cover the cost of settlement or damage awards against our directors and officers, which the Company may not be able to pay or recoup. Accordingly, our indemnification obligations could divert needed financial resources and may adversely affect our business, financial condition, results of operations and cash flows, and adversely affect the value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exclusive forum provision in our Charter may have the effect of discouraging lawsuits against our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requires, unless we consent in writing to the selection of an alternative forum, that (i) any derivative action or proceeding brought on our behalf; (ii) any action asserting a claim of breach of a fiduciary duty owed by any director, officer, other employee to us or to our stockholders; (iii) any action asserting a claim against us, our directors, officers or employees arising pursuant to any provision of the Delaware General Corporation Law (the “DGCL”), our Charter or our Amended and Restated Bylaws (our “Bylaws”); or (iv) any action asserting a claim against us, our directors, officers or employees governed by the internal affairs doctrine under Delaware law shall be brought, to the fullest extent permitted by law, solely and exclusively in the Court of Chancery in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Charter requires, unless we consent in writing to the selection of an alternative forum, that the federal district courts of the United States of America shall, to the fullest extent permitted by law, be the exclusive forum for the resolution of any complaint asserting a cause of action arising under the Securities Act. Notwithstanding the foregoing, this provision in the Charter does not apply to claims seeking to enforce any liability or duty created by the Exchange Act since Section 27 of the Exchange Act creates exclusive federal jurisdiction over all suits brought to enforce any duty or liability created by the Exchange Act or the rules and regulations thereunder.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this provision benefits us by providing increased consistency in the application of law in the types of lawsuits to which it applies, a court may determine that this provision is unenforceable, and to the extent it is enforceable, the provision may have the effect of discouraging lawsuits against our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Anti-takeover provisions contained in our Charter and Bylaws, as well as provisions of Delaware law, could impair a takeover attempt</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contains provisions that may discourage unsolicited takeover proposals that stockholders may consider to be in their best interests. The Company is subject to anti-takeover provisions under Delaware law which could delay or prevent a change of control. These provisions are intended to avoid costly takeover battles, reduce our vulnerability to a hostile change of control and enhance the ability of our Board to maximize stockholder value in connection with any unsolicited offer to acquire us. However, these provisions may make more difficult the removal of management, may have an anti-takeover effect and may delay, deter or prevent a merger or acquisition of us by means of a tender offer, a proxy contest or other takeover attempt that a stockholder might consider in its best interest, including those attempts that might result in a premium over the prevailing market price for our securities. These provisions provide for,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but unissued shares of common stock and preferred stock, which may be used for a variety of corporate finance transactions, acquisitions and employee benefit plans and the existence of which could make more difficult or discourage an attempt to obtain control of the Company by means of a proxy contest, tender offer, merger or otherwise (the DGCL does not require stockholder approval for any issuance of authorized shares);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action may not be by written consent (the DGCL provides that unless otherwise provided in the charter, any action of a meeting of stockholders may be taken without a meeting and prior notice by signed written consent of stockholders having the minimum number of votes that would be necessary to take such action at a meeting at which all shares entitled to vote thereon were present and voted);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of certain provisions of the organizational documents only by the affirmative vote of at least 66 2/3% of the voting power of the outstanding capital stock (the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providing for a board of directors with staggered terms and detailing that the number of directors may be fixed and modified only by our Board;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for nominations of directors by stockholders and for stockholders to include matters to be considered at annual meetings, which may discourage or deter a potential acquirer from conducting a solicitation of proxies to elect the acquirer’s own slate of directors or otherwise attempting to obtain control of SEGG Media;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Board to issue one or more series of preferred stock.</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that directors may be removed only for cause and then only by a two-thirds vote of the holders of a majority of the voting power of the outstanding shares then entitled to vote in an election of directors, voting together as a single class;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that vacancies on our Board, including newly created directorships, may be filled only by a majority vote of directors then in office;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prohibiting stockholders from calling special meetings of stockholders.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these provisions may make it difficult and expensive for a third party to pursue a tender offer, change in control or takeover attempt that is opposed by our management or our Board. Stockholders who might desire to participate in these types of transactions may not have an opportunity to do so, even if the transaction is favorable to them. These anti-takeover provisions could substantially impede any stockholder’s ability to benefit from a change in control or change our management and Board and, as a result, may adversely affect the market price of common stock and the ability for any stockholder to realize any potential change of control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Risks Related to Our Common Stock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not currently in full compliance with the continued listing standards of Nasdaq and we may not be able to regain full compliance with Nasdaq’s continued listing standards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warrants trade on The Nasdaq Global Market under the symbols “SEGG” and “LTRYW,” respectively. Our failure to remain in full compliance with these requirements may result in our securities being delisted from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Company’s securities are delisted from Nasdaq, it could be more difficult to buy and sell the Company’s common stock and warrants or to obtain accurate quotations, and the price of the Company’s common stock and warrants could suffer a material decline. Delisting could also impair the Company’s ability to raise capital or trigger defaults and penalties under its outstanding agreements or securities. Further, even if we regain compliance with Nasdaq listing requirements, there is no guarantee that we will be able to maintain our listing for any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Delisting from Nasdaq could also result in negative publicity. Further, if we are delisted, we would also incur additional costs under state blue sky laws in connection with any sales of our securities. These requirements could severely limit the market liquidity of our common stock or warrants and the ability of our stockholders to sell our common stock or warrants in the secondary market. If our common stock or warrants are delisted by Nasdaq, our common stock or warrants may be eligible to trade on an over-the-counter quotation system, such as the OTCQB Market, where an investor may find it more difficult to sell our stock or obtain accurate quotations as to the market value of our common stock or warrants. In the event our common stock or warrants are delisted from The Nasdaq Global Market, we may not be able to list our common stock or warrants on another national securities exchange or obtain quotation on an over-the counter quotation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common stock and warrants may never develop or be sustained, which may make it difficult to sell the shares of common stock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trading market for the common stock and warrants may not develop or continue or, if developed, may not be sustained, which would make it difficult for you to sell your shares of common stock and warrants at an attractive price or at all. The market price of our common stock and warrants may decline below your purchase price, and you may not be able to sell your shares of common stock and warrants at or above the price you paid for such shares or at all.</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and warrants could be highly volatile, and you may lose some or all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securities may be highly volatile due to many factors, including our operating performance, liquidity, financing activity, regulatory developments, litigation, acquisitions and integration results, macroeconomic conditions and market dynamics affecting micro-cap issuers. Broad market and industry factors may negatively affect the trading price of our securities regardless of our actual performance. In addition, securities class action litigation is often brought against companies following periods of stock price volatility or decline, which could result in substantial costs and diversion of management attention.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may be subject to short squeezes and other market dislocations, which could result in extreme volatility and losses for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may experience periods of extreme volatility due to short interest and the potential for short squeezes, as well as speculative trading activity, options and derivatives activity, margin availability and social-media-driven market dynamics. A short squeeze can occur when investors with short positions are forced to purchase shares to cover their positions, which may cause the stock price to rise rapidly. Such price increases may be temporary and may be followed by rapid declines. Investors who purchase securities during such periods may incur substantial losses. We do not control these market dynamics and may be unable to respond effectively to mitigate volatility.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the Company, or publish negative reports, the Company’s stock price and trading volume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and warrants will depend, in part, on the research and reports that securities or industry analysts publish about the Company. The Company does not have any control over these analysts. If the Company’s financial performance fails to meet analyst estimates or one or more of the analysts who cover the Company downgrade its common stock or change their opinion, the Company’s stock price would likely decline. If one or more of these analysts cease coverage of the Company or fail to regularly publish reports on the Company, it could lose visibility in the financial markets, which could cause the Company’s stock price or trading volume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the Company does not anticipate paying any cash dividends in the foreseeable future, capital appreciation, if any, would be your sole source of gain.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anticipates that it will retain future earnings for the development, operation and expansion of its business and does not anticipate declaring or paying any cash dividends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capital appreciation, if any, of the Company’s shares of common stock would be your sole source of gain on an investment in such shares for the foreseeable future.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Risks Related to Our Loan Agreements and Loan Agreement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fund operations depends in part on third-party financing sources that may not be available when needed.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rely on third-party financing arrangements as a source of liquidity. Certain lenders may have discretion regarding future advances and may not provide funding when requested or at all. If we are unable to obtain funding under existing arrangements or from other sources on acceptable terms, we may be required to delay or abandon initiatives to restart or expand operations and could be forced to materially curtail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debt agreements contain covenants that may restrict operations and financing flexibility.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financing arrangements include covenants, representations, warranties and events of default that may restrict our ability to incur additional indebtedness, sell assets, grant liens, amend organizational documents, declare or pay dividends, repurchase shares, or issue securities in certain circumstances. These restrictions could limit our operational flexibility, impair our ability to raise additional capital and increase the risk of default. If an event of default occurs and is not cured, lenders may have remedies that could include accelerating amounts due and enforcing security interests, which could materially adversely affect our business and could render an investment in our securities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obligations may be secured by substantially all of our assets; enforcement could materially harm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obligations may be secured by a first-priority security interest in substantially all of our assets. If we default, secured parties may be able to foreclose on collateral, restrict cash flows and force sales of assets, any of which could materially impair our ability to operate.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Conversions and warrant exercises could cause substantial dilution and depress our stock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financing arrangements include conversion features and warrants that, if exercised or converted, would result in the issuance of a significant number of shares of our common stock. Such issuances would dilute existing stockholders and could depress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conversion prices are based on discounts to market prices and holders sell shares into the market, the trading price may decline, which could result in additional shares being issuable upon further conversions, potentially creating a downward-spiral effect. These dynamics could materially impair the market price of our common stock and increase volatility. Any resale of shares issued upon conversion or exercise, including by selling stockholders, could further increase selling pressure and adversely affect the trading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have sufficient funds to repay indebtedness, and our indebtedness increases financial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indebtedness and other obligations that we may not have sufficient funds to repay when due. Indebtedness increases the risk of default, limits financial flexibility and may require us to devote cash to debt service rather than operations and growth. If we are unable to repay or refinance amounts due, we may be required to raise capital on unfavorable terms, sell assets, restructure obligations, or curtail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likely require additional financing, which may be highly dilutive and may adversely affect our stock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seek additional capital through equity, equity-linked securities or debt financings. Such financings may be unavailable on acceptable terms, may be senior to existing equity, may include warrants or conversion features, and may result in substantial dilution to existing stockholders. Financing terms common for micro-cap issuers may include discounts to market price, variable pricing, resets or other features that can increase the number of shares issuable as the trading price declines and can exert downward pressure on our stock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including interest rates, investor risk appetite and micro-cap volatility, may increase the cost of capital and reduce financing alternatives. Investors in this offering may experience significant dilution, and we may be required to raise capital at prices materially below the offering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General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coverage is not adequate to cover all possible losses that we could suffer, and our insurance costs may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substantial loss, the insurance coverage we carry may not be sufficient to pay the full market value or replacement cost of our lost investment or could result in certain losses being totally uninsured. Market forces beyond our control may limit the scope of the insurance coverage we can obtain in the future or our ability to obtain coverage at reasonable rates. Certain catastrophic losses may be uninsurable or too expensive to justify obtaining insurance. As a result, if we suffer such a catastrophic loss, we may not be successful in obtaining future insurance without increases in cost or decreases in coverage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cash and cash equivalents may be exposed to failure of our banking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we seek to minimize our exposure to third-party losses of our cash and cash equivalents, we hold our cash balances in more than one financial institution. Notwithstanding such allocation, we are subject to the risk of bank failure and the consequent loss of our funds, in whole or in part. If any bank at which we hold deposits were to experience a failure, we could experience the risk of loss, or limitation on access to, our cash and cash equivalents which would adversely affect our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2" w:name="a_004"/>
      <w:bookmarkEnd w:id="42"/>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 w:name="JA_001"/>
      <w:bookmarkEnd w:id="43"/>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44" w:name="xdx_98E_ecyd--CybersecurityRiskManagemen"/>
      <w:bookmarkEnd w:id="44"/>
      <w:r>
        <w:rPr>
          <w:rFonts w:ascii="Times New Roman;Times;Serif" w:hAnsi="Times New Roman;Times;Serif"/>
          <w:b w:val="false"/>
          <w:i/>
          <w:caps w:val="false"/>
          <w:smallCaps w:val="false"/>
          <w:sz w:val="20"/>
        </w:rPr>
        <w:t>Cybersecurity Risk Management and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w:t>
      </w:r>
      <w:bookmarkStart w:id="45" w:name="xdx_90B_ecyd--CybersecurityRiskManagemen"/>
      <w:bookmarkEnd w:id="45"/>
      <w:r>
        <w:rPr>
          <w:rFonts w:ascii="Times New Roman;Times;Serif" w:hAnsi="Times New Roman;Times;Serif"/>
          <w:b w:val="false"/>
          <w:i w:val="false"/>
          <w:caps w:val="false"/>
          <w:smallCaps w:val="false"/>
          <w:sz w:val="20"/>
        </w:rPr>
        <w:t>the importance of maintaining the confidentiality, integrity, and availability of its information systems and data. As a global digital media, sports, entertainment, gaming, and technology company, the Company utilizes information systems and third-party technology platforms to support its operations, including content distribution, customer engagement, digital marketing, payment processing, financial reporting, and other business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6" w:name="xdx_C04_gBFCRMPFAIAMT-TV_zwUZNMlnW3m4"/>
      <w:bookmarkEnd w:id="46"/>
      <w:r>
        <w:rPr>
          <w:rFonts w:ascii="Times New Roman;Times;Serif" w:hAnsi="Times New Roman;Times;Serif"/>
          <w:b w:val="false"/>
          <w:i w:val="false"/>
          <w:caps w:val="false"/>
          <w:smallCaps w:val="false"/>
          <w:sz w:val="20"/>
        </w:rPr>
        <w:t>The Company maintains processes designed to assess, identify, and manage cybersecurity risks. These processes include periodic evaluation of information technology systems, implementation of access controls, security monitoring, data backup procedures, vendor assessments, employee awareness initiatives, and incident response planning. The Company regularly evaluates cybersecurity risks as part of its broader enterprise risk management activities and considers cybersecurity threats in connection with operational, financial, legal, regulatory, and reputational risks.</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relies on various third-party service providers and technology vendors, including cloud hosting providers, software vendors, payment processors, communication platforms, and other service providers that may have access to Company systems or data. The Company considers cybersecurity risks associated with these third parties through contractual protections, vendor diligence, ongoing monitoring, and other risk management measures, although the Company cannot guarantee that such measures will prevent all cybersecurity incidents.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cybersecurity risk management framework, the Company monitors potential threats and vulnerabilities that could adversely affect its operations, financial condition, reputation, or strategic objectives. The Company periodically reviews and updates its cybersecurity controls and procedures in light of evolving threats, business requirements, and industry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experienced routine cybersecurity events common to organizations operating in digital environments, including attempted phishing attacks, unauthorized access attempts, and other malicious activities. To date, the Company has not identified any cybersecurity incident that has materially affected, or is reasonably likely to materially affect, its business strategy, results of operations, or financial condition. However, cybersecurity threats continue to evolve in sophistication and frequency, and future incidents could have a material adverse effect on the Company’s business, operations, reputation, financial condition, or results of operations.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caps w:val="false"/>
          <w:smallCaps w:val="false"/>
        </w:rPr>
      </w:pPr>
      <w:bookmarkStart w:id="47" w:name="xdx_C06_gBFCRMPFAIAMT-TV_zzvggAV1iEQa"/>
      <w:bookmarkEnd w:id="47"/>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48" w:name="xdx_984_ecyd--CybersecurityRiskBoardOfDi"/>
      <w:bookmarkEnd w:id="48"/>
      <w:r>
        <w:rPr>
          <w:rFonts w:ascii="Times New Roman;Times;Serif" w:hAnsi="Times New Roman;Times;Serif"/>
          <w:b w:val="false"/>
          <w:i/>
          <w:caps w:val="false"/>
          <w:smallCaps w:val="false"/>
          <w:sz w:val="20"/>
        </w:rPr>
        <w:t>Cybersecurity Governance</w:t>
      </w:r>
    </w:p>
    <w:p>
      <w:pPr>
        <w:pStyle w:val="TextBody"/>
        <w:bidi w:val="0"/>
        <w:spacing w:before="0" w:after="0"/>
        <w:ind w:left="0" w:right="0" w:firstLine="720"/>
        <w:jc w:val="both"/>
        <w:rPr>
          <w:caps w:val="false"/>
          <w:smallCaps w:val="false"/>
        </w:rPr>
      </w:pPr>
      <w:bookmarkStart w:id="49" w:name="xdx_C0D_gBFCRBODOTB-RUG_zx9ouDivcgk2"/>
      <w:bookmarkEnd w:id="4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oversees the Company’s risk management processes, including risks related to cybersecurity and information security. The Board receives periodic updates from management regarding significant cybersecurity matters, cybersecurity risks, information technology initiatives, and related risk mitigation efforts. The Board considers cybersecurity risks as part of its overall oversight of enterprise risk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assessing and managing the Company’s cybersecurity risks on a day-to-day basis. The Company’s cybersecurity risk management activities are led by senior management personnel responsible for information technology, compliance, finance, and operational functions. These individuals work together to identify, assess, manage, and respond to cybersecurity risks and incidents and to implement appropriate security measures throughout the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monitors cybersecurity developments, evaluates emerging threats, coordinates with external service providers and advisors when appropriate, and escalates significant cybersecurity matters to executive leadership and the Board of Directors as necessary. The Company may engage third-party consultants, technology vendors, legal counsel, cybersecurity specialists, and other advisors to assist in evaluating cybersecurity risks, responding to incidents, and enhancing cybersecurity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 continues to expand its digital operations, including through acquisitions, strategic partnerships, media platforms, and technology-enabled products, management expects to continue enhancing its cybersecurity governance, risk management processes, and information security controls to address evolving business needs and cybersecurity threats.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50" w:name="xdx_C06_gBFCRBODOTB-RUG_zHQNe7TQQd71"/>
      <w:bookmarkEnd w:id="50"/>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1" w:name="a_005"/>
      <w:bookmarkEnd w:id="51"/>
      <w:r>
        <w:rPr>
          <w:rFonts w:ascii="Times New Roman;Times;Serif" w:hAnsi="Times New Roman;Times;Serif"/>
          <w:b/>
          <w:i w:val="false"/>
          <w:caps w:val="false"/>
          <w:smallCaps w:val="false"/>
          <w:sz w:val="20"/>
        </w:rPr>
        <w:t>Item 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business location is in Fort Worth, Texas. Our employees, including our executive management team, currently perform their job responsibilities remotely.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2" w:name="a_006"/>
      <w:bookmarkEnd w:id="52"/>
      <w:r>
        <w:rPr>
          <w:rFonts w:ascii="Times New Roman;Times;Serif" w:hAnsi="Times New Roman;Times;Serif"/>
          <w:b/>
          <w:i w:val="false"/>
          <w:caps w:val="false"/>
          <w:smallCaps w:val="false"/>
          <w:sz w:val="20"/>
        </w:rPr>
        <w:t>Item 3.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from time to time a party to various lawsuits, claims and other legal proceedings that arise in the ordinary course of business. In addition, the Company is a party to several material legal proceedings, which are described below. The outcome of litigation is inherently uncertain. If one or more legal matters were resolved against the Company in a reporting period for amounts in excess of management’s expectations, the Company’s financial condition and operating results for that reporting period could be materially adversely affected.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 Streicher</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29, 2022, the Company filed its original </w:t>
      </w:r>
      <w:r>
        <w:rPr>
          <w:rFonts w:ascii="Times New Roman;Times;Serif" w:hAnsi="Times New Roman;Times;Serif"/>
          <w:b w:val="false"/>
          <w:i/>
          <w:caps w:val="false"/>
          <w:smallCaps w:val="false"/>
          <w:sz w:val="20"/>
        </w:rPr>
        <w:t>Verified Complaint for Breach of Contract and Specific Performance</w:t>
      </w:r>
      <w:r>
        <w:rPr>
          <w:rFonts w:ascii="Times New Roman;Times;Serif" w:hAnsi="Times New Roman;Times;Serif"/>
          <w:b w:val="false"/>
          <w:i w:val="false"/>
          <w:caps w:val="false"/>
          <w:smallCaps w:val="false"/>
          <w:sz w:val="20"/>
        </w:rPr>
        <w:t xml:space="preserve"> (the “Streicher Complaint”) against J. Streicher Financial, LLC (“Streicher”) in the Court of Chancery of the State of Delaware (the “Chancery Court”), styled </w:t>
      </w:r>
      <w:r>
        <w:rPr>
          <w:rFonts w:ascii="Times New Roman;Times;Serif" w:hAnsi="Times New Roman;Times;Serif"/>
          <w:b w:val="false"/>
          <w:i/>
          <w:caps w:val="false"/>
          <w:smallCaps w:val="false"/>
          <w:sz w:val="20"/>
        </w:rPr>
        <w:t>AutoLotto, Inc. dba Lottery.com v. J. Streicher Financial, LLC (Case No. 2022-0661-MTZ)</w:t>
      </w:r>
      <w:r>
        <w:rPr>
          <w:rFonts w:ascii="Times New Roman;Times;Serif" w:hAnsi="Times New Roman;Times;Serif"/>
          <w:b w:val="false"/>
          <w:i w:val="false"/>
          <w:caps w:val="false"/>
          <w:smallCaps w:val="false"/>
          <w:sz w:val="20"/>
        </w:rPr>
        <w:t xml:space="preserve">. In the Streicher Complaint, the Company alleged that Streicher breached the contract entered into by the parties on March 9, 2022, and demanded that Streicher return $16,500,000 it owes to the Company. On September 26, 2022, the Chancery Court entered an order in favor of the Company, </w:t>
      </w:r>
      <w:r>
        <w:rPr>
          <w:rFonts w:ascii="Times New Roman;Times;Serif" w:hAnsi="Times New Roman;Times;Serif"/>
          <w:b w:val="false"/>
          <w:i/>
          <w:caps w:val="false"/>
          <w:smallCaps w:val="false"/>
          <w:sz w:val="20"/>
        </w:rPr>
        <w:t>Granting with Modifications Company’s Motion for Partial Summary Judgment</w:t>
      </w:r>
      <w:r>
        <w:rPr>
          <w:rFonts w:ascii="Times New Roman;Times;Serif" w:hAnsi="Times New Roman;Times;Serif"/>
          <w:b w:val="false"/>
          <w:i w:val="false"/>
          <w:caps w:val="false"/>
          <w:smallCaps w:val="false"/>
          <w:sz w:val="20"/>
        </w:rPr>
        <w:t xml:space="preserve"> in the amount of $16,500,000 (the “Streicher Judgment”). On October 27, 2022, the Chancery Court further awarded the Company $397,037 in attorney’s fees (the “Fee Order”). On November 15, 2022, the Company initiated efforts against Streicher to seek collections on the Judgment. On December 8, 2022, the Company’s prior attorney Skadden, Arps, Slate, Meagher &amp; Flom, LLP (“Skadden”) filed its </w:t>
      </w:r>
      <w:r>
        <w:rPr>
          <w:rFonts w:ascii="Times New Roman;Times;Serif" w:hAnsi="Times New Roman;Times;Serif"/>
          <w:b w:val="false"/>
          <w:i/>
          <w:caps w:val="false"/>
          <w:smallCaps w:val="false"/>
          <w:sz w:val="20"/>
        </w:rPr>
        <w:t xml:space="preserve">Combined Motion to Withdraw as Counsel and For a Charging Lien </w:t>
      </w:r>
      <w:r>
        <w:rPr>
          <w:rFonts w:ascii="Times New Roman;Times;Serif" w:hAnsi="Times New Roman;Times;Serif"/>
          <w:b w:val="false"/>
          <w:i w:val="false"/>
          <w:caps w:val="false"/>
          <w:smallCaps w:val="false"/>
          <w:sz w:val="20"/>
        </w:rPr>
        <w:t xml:space="preserve">in amount of $3,024,201 for legal fees unpaid by Company (“Skadden’s Motion”). On December 30, 2022, the Company filed its response to Skadden’s Motion, alleging that the Chancery Court should deny Skadden’s </w:t>
      </w:r>
      <w:r>
        <w:rPr>
          <w:rFonts w:ascii="Times New Roman;Times;Serif" w:hAnsi="Times New Roman;Times;Serif"/>
          <w:b w:val="false"/>
          <w:i/>
          <w:caps w:val="false"/>
          <w:smallCaps w:val="false"/>
          <w:sz w:val="20"/>
        </w:rPr>
        <w:t>Motion for a Charging Lien</w:t>
      </w:r>
      <w:r>
        <w:rPr>
          <w:rFonts w:ascii="Times New Roman;Times;Serif" w:hAnsi="Times New Roman;Times;Serif"/>
          <w:b w:val="false"/>
          <w:i w:val="false"/>
          <w:caps w:val="false"/>
          <w:smallCaps w:val="false"/>
          <w:sz w:val="20"/>
        </w:rPr>
        <w:t xml:space="preserve"> as a matter of law or, in the alternative, limit the charging lien to the amount of the attorneys’ fees awarded by the Fee Order. As of the date of this Report, the Chancery Court has not set Skadden’s Motion for an oral hearing, nor has it entered an order on the motion. On January 20, 2023, faced with post-judgment discovery and depositions, Streicher remitted a partial payment towards the Judgment in the amount of $75,000. On February 13, 2023, Streicher made another payment towards the Judgment in the amount of $50,000 and had agreed to make another payment in the amount of $75,000 on February 28, 2023, which it failed to make. The Company intends to fully collect on the Judgment and shall pursue all legal and equitable means to enforce the Judgment against Streicher until the Judgment is fully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Preston Million Class Action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19, 2022, Preston Million filed a </w:t>
      </w:r>
      <w:r>
        <w:rPr>
          <w:rFonts w:ascii="Times New Roman;Times;Serif" w:hAnsi="Times New Roman;Times;Serif"/>
          <w:b w:val="false"/>
          <w:i/>
          <w:caps w:val="false"/>
          <w:smallCaps w:val="false"/>
          <w:sz w:val="20"/>
        </w:rPr>
        <w:t>Class Action Complaint</w:t>
      </w:r>
      <w:r>
        <w:rPr>
          <w:rFonts w:ascii="Times New Roman;Times;Serif" w:hAnsi="Times New Roman;Times;Serif"/>
          <w:b w:val="false"/>
          <w:i w:val="false"/>
          <w:caps w:val="false"/>
          <w:smallCaps w:val="false"/>
          <w:sz w:val="20"/>
        </w:rPr>
        <w:t xml:space="preserve"> (the “Class Action Complaint”) against the Company and certain former officers and directors of the Company in the United States District Court for Southern District of New York (the “SDNY”), styled </w:t>
      </w:r>
      <w:r>
        <w:rPr>
          <w:rFonts w:ascii="Times New Roman;Times;Serif" w:hAnsi="Times New Roman;Times;Serif"/>
          <w:b w:val="false"/>
          <w:i/>
          <w:caps w:val="false"/>
          <w:smallCaps w:val="false"/>
          <w:sz w:val="20"/>
        </w:rPr>
        <w:t>Preston Million, Individually and on Behalf of All Others Similarly Situated vs. Lottery.com, Inc. f/k/a Trident Acquisitions Corp., Anthony DiMatteo, Matthew Clemenson and Ryan Dickinson (Case No. 1:22-cv-07111-JLR)</w:t>
      </w:r>
      <w:r>
        <w:rPr>
          <w:rFonts w:ascii="Times New Roman;Times;Serif" w:hAnsi="Times New Roman;Times;Serif"/>
          <w:b w:val="false"/>
          <w:i w:val="false"/>
          <w:caps w:val="false"/>
          <w:smallCaps w:val="false"/>
          <w:sz w:val="20"/>
        </w:rPr>
        <w:t xml:space="preserve">. The Class Action Complaint alleged violations by all defendants of Sections 10(b) and 20(a) of the Securities Exchange Act of 1934 (the “Exchange Act”) 15 U.S.C. §§ 78j(b), 78t(a), as amended by the Private Securities Litigation Reform Act of 1995 (“PSLRA”), U.S.C. § 78u-4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(collectively “Federal Securities Laws”). On November 18, 2022, the SDNY ordered the appointment of RTD Bros, LLC, Todd Benn, Tom Benn and Tomasz Rzedian (collectively “Lottery Investor Group”) as lead plaintiff and Glancy Prongay &amp; Murray, LLP as lead counsel for plaintiffs and for the class in the case. On December 5, 2022, the Court stipulated a </w:t>
      </w:r>
      <w:r>
        <w:rPr>
          <w:rFonts w:ascii="Times New Roman;Times;Serif" w:hAnsi="Times New Roman;Times;Serif"/>
          <w:b w:val="false"/>
          <w:i/>
          <w:caps w:val="false"/>
          <w:smallCaps w:val="false"/>
          <w:sz w:val="20"/>
        </w:rPr>
        <w:t>Scheduling Order</w:t>
      </w:r>
      <w:r>
        <w:rPr>
          <w:rFonts w:ascii="Times New Roman;Times;Serif" w:hAnsi="Times New Roman;Times;Serif"/>
          <w:b w:val="false"/>
          <w:i w:val="false"/>
          <w:caps w:val="false"/>
          <w:smallCaps w:val="false"/>
          <w:sz w:val="20"/>
        </w:rPr>
        <w:t xml:space="preserve"> in the case. On January 12, 2023, the Company’s legal counsel timely filed its </w:t>
      </w:r>
      <w:r>
        <w:rPr>
          <w:rFonts w:ascii="Times New Roman;Times;Serif" w:hAnsi="Times New Roman;Times;Serif"/>
          <w:b w:val="false"/>
          <w:i/>
          <w:caps w:val="false"/>
          <w:smallCaps w:val="false"/>
          <w:sz w:val="20"/>
        </w:rPr>
        <w:t>Notice of Appearance</w:t>
      </w:r>
      <w:r>
        <w:rPr>
          <w:rFonts w:ascii="Times New Roman;Times;Serif" w:hAnsi="Times New Roman;Times;Serif"/>
          <w:b w:val="false"/>
          <w:i w:val="false"/>
          <w:caps w:val="false"/>
          <w:smallCaps w:val="false"/>
          <w:sz w:val="20"/>
        </w:rPr>
        <w:t xml:space="preserve">. On January 31, 2023, plaintiffs filed their </w:t>
      </w:r>
      <w:r>
        <w:rPr>
          <w:rFonts w:ascii="Times New Roman;Times;Serif" w:hAnsi="Times New Roman;Times;Serif"/>
          <w:b w:val="false"/>
          <w:i/>
          <w:caps w:val="false"/>
          <w:smallCaps w:val="false"/>
          <w:sz w:val="20"/>
        </w:rPr>
        <w:t>Amended Complaint</w:t>
      </w:r>
      <w:r>
        <w:rPr>
          <w:rFonts w:ascii="Times New Roman;Times;Serif" w:hAnsi="Times New Roman;Times;Serif"/>
          <w:b w:val="false"/>
          <w:i w:val="false"/>
          <w:caps w:val="false"/>
          <w:smallCaps w:val="false"/>
          <w:sz w:val="20"/>
        </w:rPr>
        <w:t xml:space="preserve"> adding Kathryn Lever, Marat Rosenberg, Vadim Komissarov, Thomas Gallagher, Gennadii Butkevych, Ilya Ponomarev as additional defendants in the case. The </w:t>
      </w:r>
      <w:r>
        <w:rPr>
          <w:rFonts w:ascii="Times New Roman;Times;Serif" w:hAnsi="Times New Roman;Times;Serif"/>
          <w:b w:val="false"/>
          <w:i/>
          <w:caps w:val="false"/>
          <w:smallCaps w:val="false"/>
          <w:sz w:val="20"/>
        </w:rPr>
        <w:t xml:space="preserve">Amended Complaint </w:t>
      </w:r>
      <w:r>
        <w:rPr>
          <w:rFonts w:ascii="Times New Roman;Times;Serif" w:hAnsi="Times New Roman;Times;Serif"/>
          <w:b w:val="false"/>
          <w:i w:val="false"/>
          <w:caps w:val="false"/>
          <w:smallCaps w:val="false"/>
          <w:sz w:val="20"/>
        </w:rPr>
        <w:t xml:space="preserve">alleges, among other things, that defendants made materially false and misleading statements in violation of Section 10(b), 14(a) and 20(a) of the Exchange Act and plaintiffs seek compensatory damages, reasonable costs and expenses including counsel fees and expert fees. Pursuant to the </w:t>
      </w:r>
      <w:r>
        <w:rPr>
          <w:rFonts w:ascii="Times New Roman;Times;Serif" w:hAnsi="Times New Roman;Times;Serif"/>
          <w:b w:val="false"/>
          <w:i/>
          <w:caps w:val="false"/>
          <w:smallCaps w:val="false"/>
          <w:sz w:val="20"/>
        </w:rPr>
        <w:t>Scheduling Order</w:t>
      </w:r>
      <w:r>
        <w:rPr>
          <w:rFonts w:ascii="Times New Roman;Times;Serif" w:hAnsi="Times New Roman;Times;Serif"/>
          <w:b w:val="false"/>
          <w:i w:val="false"/>
          <w:caps w:val="false"/>
          <w:smallCaps w:val="false"/>
          <w:sz w:val="20"/>
        </w:rPr>
        <w:t>, the Company filed its motion to dismiss the Amended Complaint on April 3, 2023, under the newly consolidated caption and its proposed order to dismiss the matter. Plaintiffs were expected to file their opposition to the motion to dismiss no later than May 18, 2023, which would trigger the Company’s deadline to file its reply brief in support of their motion to dismiss no later than June 20, 2023. On February 6, 2024, the SDNY granted the Company’s Motion to Dismiss. On June 12, 2024, plaintiffs amended their complaint (the “Third Amended Complaint”). On July 12, 2024, the Company filed its motion to dismiss the Third Amended Complaint (the “MTD Third Amended Complaint”). On August 8, 2024, the plaintiffs filed their response in opposition to the MTD Third Amended Complaint. The Company filed its reply on August 22, 2024, to plaintiffs’ response in opposition to the MTD Third Amended Complaint. On February 25, 2025, the Court granted in part and denied in part the MTD Third Amended Complaint (the “Order). As set forth in the Order, the Class Plaintiffs’ Section 10(b) claim shall proceed against Defendant Dickinson and the Company based on post−merger representations regarding Lottery’s financial performance and financial reporting. Class Plaintiffs’ and Hoffman’s Section 20(a) claim premised on Section 10(b) shall likewise proceed against Defendant Dickinson. Class Plaintiffs’ Section 14(a) claim shall proceed against the Company and Defendants DiMatteo, Clemenson and Dickinson with respect to certain legal and regulatory compliance statements in the Proxy. The remainder of Plaintiffs claims were dismissed, including all claims against Komissarov. The Court also ordered that Plaintiffs shall have leave to amend within twenty−one (21) days of this opinion and order. On March 13, 2025, the Court granted Plaintiff Hoffman’s motion for leave for additional time to amend his complaint. Accordingly, Hoffman’s Third Amended Complaint shall be due April 24, 2025. Defendants’ motions to dismiss shall be due June 30, 2025; Plaintiff Hoffman’s opposition brief will be due August 14, 2025; and Defendants’ reply briefs shall be due September 17, 2025. On or about September 5, 2025, the Government filed a motion to intervene and requested the court to stay the action in its entirety. On or about September 5, 2025, the Court granted the Government’s motion to intervene and its motion to stay the case. The matter remains stayed in accordance with the Court’s September 5, 2025 order.</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TinBu Complaint</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2023, John Brier, Bin Tu and JBBT, LLC (collectively, the “TinBu Plaintiffs”) filed its original complaint against Lottery.com, Inc. f/k/a AutoLotto, Inc. and its wholly owned subsidiary TinBu, LLC (“TinBu”) in the Circuit Court of the 13</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Judicial District in and for Hillsborough County, Florida (the “TinBu Complaint”). The Complaint alleges breach of contract(s) and misrepresentation with alleged damages in excess of $4.6 million. The parties agreed to extend the Company’s and its subsidiary’s deadline to respond until May 1, 2023. On May 2, 2023, the Company and its subsidiary retained local counsel who filed a Notice of Appearance on behalf of the Company and TinBu and filed a Motion for Enlargement requesting the Court to extend its deadline to file its initial response to the Complaint by an additional 30 days (the “Motion for Enlargement”). As of the date of this Report, the Motion for Enlargement has not been set for a hearing. On May 5, 2023, Plaintiffs filed their Motion for Court Default (“Plaintiffs’ Motion for Default”), despite Company’s Motion for Enlargement. As of the date of this Amended Report, the Motion for Enlargement has not been set for a hearing. The Company intends to oppose Plaintiffs’ Motion for Default. On May 9, 2023, Plaintiffs served Plaintiffs’ First Request for Admissions (the “RFA”) to the Company. On October 13, 2023, the Court granted the Defendants’ Motion to Stay Litigation and Discovery pending a ruling on its Motion to Compel Arbitration. On November 16, 2023, the Court granted Defendants’ Motion to Compel Arbitration in Texas. The parties await a signed written order from the Court to that effect. The TinBu Plaintiffs appealed the Court’s Order to Compel Arbitration in Texas, however the Compel Arbitration in Texas still stands.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2024, the Company received notice that the Tinbu Plaintiff’s requested a voluntary dismissal of their claims. The Tinbu Complaint has been voluntarily dismissed without prejudice by the District Court of Appeal of the State of Florida Second District and the Circuit Court of the Thirteenth Judicial Circuit in and for Hillsborough County, Florida, indicating that no further action will be pursued by the plaintiffs in Florida State Court at this time. The District Court of Appeals also denied the Tinbu Plaintiff’s motion for attorney’s fees and costs.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Court’s Order to Compel Arbitration in Texas, Plaintiff filed its Demand for Arbitration on February 23, 2026 (Case 01-26-0000-9122) and the matter currently sits for arbitration with the American Arbitration Association (AAA) in Dallas, Texas. On May 28, 2026, the AAA confirmed the appointment of the 3 arbitrators (the “Arbitrators” or the “Panel”) and a chair of the Panel (the “Chair”) was designated. A preliminary hearing was held on June 25, 2026, before Arbitrators and the Chair ordered a Final Hearing in this matter to commence before the Arbitrators in Dallas, Texas on February 16,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Gaming Data</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14, 2023, the Company and its wholly owned subsidiary TinBu, LLC (“TinBu”) (collectively, “Plaintiffs”) filed a separate lawsuit in the United States District Court for the Middle District of Florida (“MDF”) against John J. Brier, Jr. (“Brier”), Bin Tu (“Tu”), and Global Gaming Data, LLC (“GGD”) (collectively, “Defendants”), which was subsequently amended on November 21, 2023, for damages and injunctive relief arising out of Defendants’ various violations of the Federal Defend Trade Secrets Act (“DTSA”), the Florida Uniform Trade Secrets Act (“FUTSA”) and the Florida Deceptive and Unfair Trade Practices Act (“FDUTPA”), and for breaches of contract and breaches of various fiduciary duties, including the duty of loyalty, in a case styled </w:t>
      </w:r>
      <w:r>
        <w:rPr>
          <w:rFonts w:ascii="Times New Roman;Times;Serif" w:hAnsi="Times New Roman;Times;Serif"/>
          <w:b w:val="false"/>
          <w:i w:val="false"/>
          <w:caps w:val="false"/>
          <w:smallCaps w:val="false"/>
          <w:sz w:val="20"/>
          <w:u w:val="single"/>
        </w:rPr>
        <w:t>Lottery.com</w:t>
      </w:r>
      <w:r>
        <w:rPr>
          <w:rFonts w:ascii="Times New Roman;Times;Serif" w:hAnsi="Times New Roman;Times;Serif"/>
          <w:b w:val="false"/>
          <w:i w:val="false"/>
          <w:caps w:val="false"/>
          <w:smallCaps w:val="false"/>
          <w:sz w:val="20"/>
        </w:rPr>
        <w:t>, Inc. f/k/a AutoLotto, Inc. and TinBu, LLC v. John J. Brier, Jr., Bin Tu, &amp; Global Gaming Data, LLC (Case No.: 8:23-cv-2594-KKM-TGW).</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Defendants asserted counterclaims against Plaintiffs, essentially filing exactly the same claims they previously alleged in the Hillsborough County Circuit Court Action that had been compelled to arbitration, and they also joined JBBT to the lawsuit. The Company sought dismissal of the counterclaims, as well as a Temporary Restraining Order. The request for temporary injunctive relief was denied by the MDF in February 2024, and on June 11, 2024, the MDF also denied Plaintiffs’ motion to dismiss, allowing the litigation to move forward. On June 25, 2024, Plaintiffs filed their answer and affirmative defenses to Defendants’ counterclaims. On December 5, 2024, the parties participated in a court-ordered mediation; however, no resolution was reached.</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25, 2025, Plaintiffs’ claims were dismissed without prejudice for failure to prosecute, and Defendants immediately moved for default judgment on their counterclaims. On March 14, 2025, the Court entered an order denying without prejudice Defendants’ Motion for various deficiencies in the filing. On March 18, 2025, Defendants filed an Amended Motion for Default Judgment on their Counterclaims, followed by additional support for their purported damages on April 25, 2025. The Company engaged new counsel, who made an appearance on June 5, 2025, and thereafter sought and obtained additional time to respond to Defendants’ filings. On August 6, 2025, Plaintiffs filed a Motion to Dismiss for Lack of Subject Matter Jurisdiction, or in the Alternative, Motion to Set Aside Default and Compel Arbitration, which was renewed on August 14, 2025. At the same time, Plaintiffs also submitted opposition briefing and supporting evidence to contradict Defendants’ filings relating to damages evidence. Defendants’ reply to Plaintiffs filings is due to be filed on August 29, 2025. In the interim, the MDF has stayed all deadlines in the case management order and has cancelled any pretrial proceedings, pending resolution on the parties’ motions.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28, 2026, the Court entered an order dismissing Defendants counterclaims and adopted the “thorough and well-reasoned” report and recommendation by the Magistrate (the “Order”). Pursuant to the Order, the Report and Recommendation was adopted and made a part of the Order for all purposes, Plaintiffs’ Renewed Motion to Dismiss for Lack of Subject Matter Jurisdiction was granted in part, and the case was dismissed without prejudice for lack of subject matter jurisdiction. The Court Clerk as directed by the Court to terminate any pending deadlines an close the 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Woodford Eurasia Assets, Limited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Woodford Eurasia Assets Limited filed a complaint in the High Court of Justice in London Chancery Division. On October 16, 2023, The High Court of Justice in London Chancery Division (“the Court”) dismissed an application for injunctive relief initiated by Woodford against the Company. (Case: FL-2023-000023. Woodford Eurasia Assets Limited v Lottery.com Inc.) The Court characterized Woodford’s application as “fundamentally misconceived” and ordered Woodford to pay the Company’s legal costs. Woodford subsequently, on the Judges’ recommendation, withdrew the proceedings.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Woodford filed an additional action in the United States District Court for the District of Delaware on November 16, 2023, in Case No. 23-1317-GBW seeking a temporary restraining order, preliminary injunction and expedited discovery against Lottery.com and its directors. The Court entered an order the next day denying the relief sought by Woodford. On February 14, 2024, Woodford filed a Notice of Voluntary Dismissal Without Prejudice, which stated that Woodford provides notice of dismissal of all claims without prejudice against Defendants Lottery.com and its directors.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dismissal of this lawsuit by Woodford, no further action is required by Lottery.com or its directors at this time. The Company is determining its next course of action in resolving any further matters regarding Woodford.</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and application of the Woodford Loan Agreement Amendment is disputed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requests from the Company, Woodford has repeatedly amongst other things: failed to prove the amounts borrowed by the Company or claimed to have been advanced by Woodford to the Company; failed to indicate if it would accept accelerated payment of those verified amounts; failed to provide an anti-money laundering acceptable account to which payment could be made by the Company and failed to explain failure to respond to requests for other funding to be accepted in the context of the Woodford Loan Agreement; failed to respond to requests for funding under the accordion facility of the Woodford Loan Agreement; and failed to respond to allegations of money laundering and conspiracy to defraud the Company and others.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9, 2026, Woodford filed a Letter of Claim and Request for Arbitration against the Company with the London Court of International Arbitration (“LCIA”) (LCIA Arbitration No. 266904). The Company filed its response to the Letter of Claim on May 3,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McTurk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10, 2024, the Company and Matthew McGahan (“McGahan”) (Company and McGahan collectively, “Defendants”) filed their </w:t>
      </w:r>
      <w:r>
        <w:rPr>
          <w:rFonts w:ascii="Times New Roman;Times;Serif" w:hAnsi="Times New Roman;Times;Serif"/>
          <w:b w:val="false"/>
          <w:i/>
          <w:caps w:val="false"/>
          <w:smallCaps w:val="false"/>
          <w:sz w:val="20"/>
        </w:rPr>
        <w:t>Notice of Removal</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 Answer Motion to Dismiss</w:t>
      </w:r>
      <w:r>
        <w:rPr>
          <w:rFonts w:ascii="Times New Roman;Times;Serif" w:hAnsi="Times New Roman;Times;Serif"/>
          <w:b w:val="false"/>
          <w:i w:val="false"/>
          <w:caps w:val="false"/>
          <w:smallCaps w:val="false"/>
          <w:sz w:val="20"/>
        </w:rPr>
        <w:t xml:space="preserve"> a state court complaint filed by Sharon A. McTurk (“McTurk”), Rutherford Enterprises, LLC (“Rutherford”), SJB Solutions, LLC (“SJB”) and Astra Supply Chain, LLC (“Astra”), McTurk, Rutherford, SJB and Astra (collectively, “Plaintiffs” or “Appellant”)) alleging fraudulent and negligent misrepresentation, aiding and abetting, and conspiracy by Defendants. On July 2, 2024, McGahan filed his </w:t>
      </w:r>
      <w:r>
        <w:rPr>
          <w:rFonts w:ascii="Times New Roman;Times;Serif" w:hAnsi="Times New Roman;Times;Serif"/>
          <w:b w:val="false"/>
          <w:i/>
          <w:caps w:val="false"/>
          <w:smallCaps w:val="false"/>
          <w:sz w:val="20"/>
        </w:rPr>
        <w:t>Motion to Dismiss for Lack of Personal Jurisdiction</w:t>
      </w:r>
      <w:r>
        <w:rPr>
          <w:rFonts w:ascii="Times New Roman;Times;Serif" w:hAnsi="Times New Roman;Times;Serif"/>
          <w:b w:val="false"/>
          <w:i w:val="false"/>
          <w:caps w:val="false"/>
          <w:smallCaps w:val="false"/>
          <w:sz w:val="20"/>
        </w:rPr>
        <w:t xml:space="preserve"> and Defendants filed their </w:t>
      </w:r>
      <w:r>
        <w:rPr>
          <w:rFonts w:ascii="Times New Roman;Times;Serif" w:hAnsi="Times New Roman;Times;Serif"/>
          <w:b w:val="false"/>
          <w:i/>
          <w:caps w:val="false"/>
          <w:smallCaps w:val="false"/>
          <w:sz w:val="20"/>
        </w:rPr>
        <w:t>Motion to Dismiss for Failure to State a Claim and Supporting Memorandum of Law</w:t>
      </w:r>
      <w:r>
        <w:rPr>
          <w:rFonts w:ascii="Times New Roman;Times;Serif" w:hAnsi="Times New Roman;Times;Serif"/>
          <w:b w:val="false"/>
          <w:i w:val="false"/>
          <w:caps w:val="false"/>
          <w:smallCaps w:val="false"/>
          <w:sz w:val="20"/>
        </w:rPr>
        <w:t xml:space="preserve"> (“Motions to Dismiss”). On July 19, 2024, Plaintiffs filed their response to the Motions to Dismiss. Defendants filed their reply on August 29, 2024, to Plaintiffs response to Defendants’ Motions to Dismiss. On February 25, 2025, the Court entered an Order granting Defendants’ Motion to Dismiss for Failure to State a Claim (the “Order”). Accordingly, Plaintiffs’ complaint was dismissed with prejudice. All pending deadlines and hearings were terminated, and any other pending motions were denied as moot. Plaintiffs filed a notice of appeal as to the Order and subsequently filed Appellants’ Brief. On June 16, 2025, Appellee’s filed their Answer Brief in the United States Court of Appeals for the 11th Circuit (“Court of Appeals”) and filed and served the Supplemental Appendix to Appellees’ Answer Brief. On February 27, 2026, the Court of Appeals directed the Clerk’s Office to place this appeal on the next oral argument calendar with a vacancy. Accordingly, the oral argument before the Court of Appeals is set for July 27,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Honey Tree Trading</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2024, Honey Tree Trading, LLC (“Honey Tree” or “Plaintiff”) filed a verified original complaint (the “Complaint”) against Lottery.com (“Lottery.com” or the “Company”) and directors Matthew Howard McGahan (“McGahan”), Christopher Gooding (“Gooding”), Paul Jordan (“Jordan”), Tamer Hassan (“Hassan”) and Warren Macal (“Macal” together with McGahan, Gooding, Jordan and Hassan, the “Individual Defendants” and, collectively Lottery.com, the “Defendants”) in Delaware Chancery Court alleging, amongst other things, breach of contract by the Company with respect to certain notes and warrants and breach of fiduciary duties by the Individual Defendants. (CA. No. 2024-0921-NAC: styled Honey Tree Trading, LLC v. Lottery.com Inc., et al.). On October 10, 2024, Honey Tree amended its Complaint by filing an amended verified complaint (the “Amended Complaint”) and a motion to expedite proceedings (the “Motion”). On November 6, 2024, at a hearing on Plaintiff’s Motion (the “Hearing”) and on the issue of breach of fiduciary duties against the Individual Defendants, Honey Tree’s counsel informed the Court that, “[t]here is no question that Honey Tree is presently a shareholder and was a shareholder at the time it presented its pleading.” On November 12, 2024, Plaintiff’s counsel informed the Court that “Honey Tree did own shares prior to the filing of the Amended Complaint but sold them prior to that filing; and (ii) Honey Tree did not subsequently purchase shares of Lottery.com until November 7, 2024, the day after the [H]earing,” (Plaintiff’s Admission”). Following Plaintiff’s Admission on November 13, 2024, Plaintiff dismissed without prejudice its claims against Hassan and Macal (the “Dismissal”). The Court ordered the Dismissal on November 15, 2024. On December 13, 2024, Plaintiff filed amended its Amended Complaint by filing a second amended verified complaint (the “Second Amended Complaint”) and a renewed motion to expedite proceedings (the “Second Motion to Expedite”) against the Company and remaining Individual Defendants. In accordance with a briefing stipulation entered by the Court on December 11, 2024, defendants shall answer the Second Amended Complaint and file its opposition to the Second Motion to Expedite by January 13, 2025. On January 13, 2025, the Company and Individual Defendants timely filed their Answer to the Second Amended Complaint, an Opposition to Motion to Expedite and a Partial Motion to Dismiss. On March 6, 2025, Plaintiff notified the Court that it withdraws its Motion to Expedite. On April 25, 2025, Plaintiff filed its Motion to Dismiss Count IV of the Second Amended Complaint as Moot. The motion was granted and Count IV of the Second Amended Complaint was dismissed by the Court. On April 14, 2026, the Court denied Plaintiff’s Proposed Order Governing Case Schedule.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Manna World Ministries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2023, Manna World Ministries and Summit Church (collectively, the “Plaintiffs”) filed a civil lawsuit in the San Diego Superior Court, North County Division, under case number 37-2023-00039279-CU-CO-NC. The action was brought against Ryan Dickinson, Matthew Clemenson, Lawrence Dimatteo, Incircl, Inc., Paul King, LAD Holdings Group, LLC, MC Holdings Group, LLC, RD Holdings, LLC, and Jeff Sparrow (collectively, the “Defendants”). The Plaintiffs allege that the Defendants defaulted on a personal loan totaling $2,700,000, which was purportedly secured by their personal shares of stock in Lottery.com Inc. (the “Company”). On April 4, 2024, the Plaintiffs filed an amended complaint naming the Company as an additional defendant. The Company subsequently filed an answer and asserted affirmative defenses on December 6, 2024, denying all allegations of wrongdoing. The Company has stated its intent to vigorously contest the claims and to pursue all legal remedies available. The matter is currently set for trial on September 28, 2026.</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Dawn Nettles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14, 2025, Dawn Nettles, et. al (“Nettles” or “Plaintiff”) filed a verified original class action (the “Complaint”) against Lottery.com (“Lottery.com” or the “Company”), Rook TX LP, Gary N. Grief, IGT Solutions Corporation (“IGT”) (collectively the “Defendants”) in the District Court of Harris County, 333rd Judicial District (the “Court”) alleging that the Defendants engaged in systematic fraud, misappropriated lottery funds, illegally sold tickets across state lines, and manipulated the outcome of lottery games, including, but not limited to the April 22, 2023 Lotto Texas drawing. On March 25, 2025, the judge issued a ruling that the claims against IGT be dismissed without prejudice. Nettles filed a notice on May 30, 2025, that she is “taking a Nonsuit Without Prejudice Against All Parties Effective Immediately.” The Notice, under Texas Rule of Civil Procedure 162, terminated the case effective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Jerry R. Reed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8, 2025, </w:t>
      </w:r>
      <w:r>
        <w:rPr>
          <w:rFonts w:ascii="Times New Roman;Times;Serif" w:hAnsi="Times New Roman;Times;Serif"/>
          <w:b w:val="false"/>
          <w:i/>
          <w:caps w:val="false"/>
          <w:smallCaps w:val="false"/>
          <w:sz w:val="20"/>
        </w:rPr>
        <w:t>Jerry R. Reed</w:t>
      </w:r>
      <w:r>
        <w:rPr>
          <w:rFonts w:ascii="Times New Roman;Times;Serif" w:hAnsi="Times New Roman;Times;Serif"/>
          <w:b w:val="false"/>
          <w:i w:val="false"/>
          <w:caps w:val="false"/>
          <w:smallCaps w:val="false"/>
          <w:sz w:val="20"/>
        </w:rPr>
        <w:t xml:space="preserve"> (“Reed” or the “Plaintiff”) commenced an action against </w:t>
      </w:r>
      <w:r>
        <w:rPr>
          <w:rFonts w:ascii="Times New Roman;Times;Serif" w:hAnsi="Times New Roman;Times;Serif"/>
          <w:b w:val="false"/>
          <w:i/>
          <w:caps w:val="false"/>
          <w:smallCaps w:val="false"/>
          <w:sz w:val="20"/>
        </w:rPr>
        <w:t xml:space="preserve">ALTX Management, LLC; AutoLotto, Inc.; Matthew Clemensen; Colossus Bets Limited; Ryan Dickinson; Lawrence Anthony Dimatteo III; Lottery Now Inc.; </w:t>
      </w:r>
      <w:r>
        <w:rPr>
          <w:rFonts w:ascii="Times New Roman;Times;Serif" w:hAnsi="Times New Roman;Times;Serif"/>
          <w:b w:val="false"/>
          <w:i/>
          <w:caps w:val="false"/>
          <w:smallCaps w:val="false"/>
          <w:sz w:val="20"/>
          <w:u w:val="single"/>
        </w:rPr>
        <w:t>Lottery.com</w:t>
      </w:r>
      <w:r>
        <w:rPr>
          <w:rFonts w:ascii="Times New Roman;Times;Serif" w:hAnsi="Times New Roman;Times;Serif"/>
          <w:b w:val="false"/>
          <w:i/>
          <w:caps w:val="false"/>
          <w:smallCaps w:val="false"/>
          <w:sz w:val="20"/>
        </w:rPr>
        <w:t>, Inc.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Lottery.com</w:t>
      </w:r>
      <w:r>
        <w:rPr>
          <w:rFonts w:ascii="Times New Roman;Times;Serif" w:hAnsi="Times New Roman;Times;Serif"/>
          <w:b w:val="false"/>
          <w:i w:val="false"/>
          <w:caps w:val="false"/>
          <w:smallCaps w:val="false"/>
          <w:sz w:val="20"/>
        </w:rPr>
        <w:t xml:space="preserve">” or the “Company”); </w:t>
      </w:r>
      <w:r>
        <w:rPr>
          <w:rFonts w:ascii="Times New Roman;Times;Serif" w:hAnsi="Times New Roman;Times;Serif"/>
          <w:b w:val="false"/>
          <w:i/>
          <w:caps w:val="false"/>
          <w:smallCaps w:val="false"/>
          <w:sz w:val="20"/>
        </w:rPr>
        <w:t>Bernard Marantelli; Qawi and Quddus, Inc.; Zeljeko Ranogajec; Rook GP, LLC; Rook TX LP;</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White Swan Data Limited</w:t>
      </w:r>
      <w:r>
        <w:rPr>
          <w:rFonts w:ascii="Times New Roman;Times;Serif" w:hAnsi="Times New Roman;Times;Serif"/>
          <w:b w:val="false"/>
          <w:i w:val="false"/>
          <w:caps w:val="false"/>
          <w:smallCaps w:val="false"/>
          <w:sz w:val="20"/>
        </w:rPr>
        <w:t xml:space="preserve"> (collectively, the “Defendants”). The action was filed under Case No. 25-BC03A-0007, styled </w:t>
      </w:r>
      <w:r>
        <w:rPr>
          <w:rFonts w:ascii="Times New Roman;Times;Serif" w:hAnsi="Times New Roman;Times;Serif"/>
          <w:b w:val="false"/>
          <w:i/>
          <w:caps w:val="false"/>
          <w:smallCaps w:val="false"/>
          <w:sz w:val="20"/>
        </w:rPr>
        <w:t xml:space="preserve">Jerry B. Reed v. Rook TX LP, Rook GP LLC, Colossus Bets Limited, </w:t>
      </w:r>
      <w:r>
        <w:rPr>
          <w:rFonts w:ascii="Times New Roman;Times;Serif" w:hAnsi="Times New Roman;Times;Serif"/>
          <w:b w:val="false"/>
          <w:i/>
          <w:caps w:val="false"/>
          <w:smallCaps w:val="false"/>
          <w:sz w:val="20"/>
          <w:u w:val="single"/>
        </w:rPr>
        <w:t>Lottery.com</w:t>
      </w:r>
      <w:r>
        <w:rPr>
          <w:rFonts w:ascii="Times New Roman;Times;Serif" w:hAnsi="Times New Roman;Times;Serif"/>
          <w:b w:val="false"/>
          <w:i/>
          <w:caps w:val="false"/>
          <w:smallCaps w:val="false"/>
          <w:sz w:val="20"/>
        </w:rPr>
        <w:t>, Inc., AutoLotto, Inc., Lottery Now, Inc., ALTX Management, LLC, Qawi and Quddus, Inc. d/b/a Luck Zone, Lawrence Anthony “Tony” Dimatteo III, Matthew Clemensen, Ryan Dickinson, Zeljeko Ranogajec a/k/a John Wilson, White Swan Data Limited, and Bernard Marantelli</w:t>
      </w:r>
      <w:r>
        <w:rPr>
          <w:rFonts w:ascii="Times New Roman;Times;Serif" w:hAnsi="Times New Roman;Times;Serif"/>
          <w:b w:val="false"/>
          <w:i w:val="false"/>
          <w:caps w:val="false"/>
          <w:smallCaps w:val="false"/>
          <w:sz w:val="20"/>
        </w:rPr>
        <w:t>, in the Business Court of Texas, Third Division.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matter was subsequently removed to the 353rd Judicial District Court of Travis County, Texas and assigned Case No. D-1-GN-25-002446. Plaintiff seeks to recover funds that he contends were wrongfully excluded from the Lotto Texas jackpot he purportedly won on May 17, 2023. The Company maintains that it is yet to be properly served in the case and has not formally appeared in the matter. In the event it is properly served or an appearance is required, the Company intends to vigorously contest the claims and to pursue all legal remedies available, including defenses and counterclaims.</w:t>
      </w:r>
    </w:p>
    <w:p>
      <w:pPr>
        <w:pStyle w:val="TextBody"/>
        <w:shd w:fill="FFFFFF" w:val="clear"/>
        <w:bidi w:val="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Compliant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2026, the U.S. Securities and Exchange Commission (the “SEC”) filed a civil complaint in the United States District Court for the Southern District of New York naming certain former senior executive officers of the Company, the Company and the former CEO of the SPAC Trident Acquisitions Corp as defendants (the “Complaint”). The Complaint asserts claims under various provisions of the federal securities laws and seeks injunctive relief, disgorgement, civil monetary penalties, and other equitable remedies. The Complaint relates to alleged conduct occurring primarily between 2020 and mid-2022, including periods prior to and shortly following the Company’s merger with Trident Acquisition Corp. The individuals identified in the Complaint, who previously served as executive officers, are no longer employed by the Company and have no ongoing association or involvement with the Company in any capacity. Since mid-2022, the Company has undergone substantial changes in management, governance, and internal controls. The Company’s current management team was not involved in the conduct alleged in the Complaint. The Company has fully cooperated with the SEC’s investigation and intends to continue full cooperation with the SEC in connection with this matter. While the Company maintains the Complaint lacks merit against the Company and will defend against the lawsuit if necessary, the Company has entered into non-binding discussions with the SEC regarding a potential settlement. There can be no assurance that a final agreement will be reached, but the matter appears to be very close to being resolved without any material liability to the Company. On June 16, 2026, the Court ordered a 30-day stay of the proceedings for the SEC and the Company to make meaningful progress towards settlement and report back to the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Virtu Financial Capital Markets LLC, Virtu Americas LLC, GTS Securities, LLC and G1 Execution Services,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2026, Sports Entertainment Gaming Global Corporation filed a lawsuit in the District Court of Tarrant County, Texas against Virtu Financial Capital Markets LLC, Virtu Americas LLC, GTS Securities, LLC and G1 Execution Services, LLC (Cause No: 236-374531-26). The complaint alleges that the defendants engaged in unlawful securities trading practices, including alleged market manipulation, spoofing, naked short selling and other trading activities that artificially depressed the market price of the Company’s common stock. The Company asserts claims under the Texas Securities Act and certain provisions of the Securities Exchange Act of 1934 and seeks monetary damages, attorneys’ fees, costs, interest and other relief deemed appropriate by the court. The complaint states that the amount in controversy does not exceed $178.75 million.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Alumni Capital LP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Alumni Capital LP sent the Company an Event of Default Redemption Notice threatening to commence legal proceedings against the Company relating to an unsecured convertible promissory note issued pursuant to a Securities Purchase Agreement dated March 16, 2026. Alumni alleges that the Company defaulted under certain provisions of the transaction documents and seeks, among other relief, redemption of the note, liquidated damages, interest, attorneys’ fees, and other remedies provided under the applicable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Diamond Research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filed a lawsuit in the District Court of Tarrant County, Texas against Defendants White Diamond Research LLC and Adam Gefvert (Cause No.: 352-379280-26). The complaint asserts claims arising from statements and publications made by the defendants concerning the Company, including a claim for business disparagement. The Company alleges that the defendants published false and misleading statements regarding the Company’s business and operations and seeks monetary damages, injunctive and other equitable relief, attorneys’ fees where recoverable, costs, and such other relief as the court deems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USA Today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Company filed a lawsuit in the District Court of Tarrant County, Texas against Defendant USA Today Co., Inc. (formerly Gannett Co., Inc. and Gatehouse Media, LLC), arising from an advertising agreement entered into in December 2016 (the “Advertising Agreement”) (Cause No.: 048-379558-26). Under the Advertising Agreement, the Company acquired contractual rights to receive approximately $18.0 million of advertising inventory and related services from defendants. The Company alleges that, despite repeated requests beginning in 2024 to utilize the remaining advertising inventory available under the Advertising Agreement, defendant has refused to acknowledge approximately $16.4 million of advertising media credits or honor the Company’s contractual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 w:name="a_007"/>
      <w:bookmarkEnd w:id="53"/>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60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4" w:name="a_008"/>
      <w:bookmarkEnd w:id="54"/>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5" w:name="a_009"/>
      <w:bookmarkEnd w:id="55"/>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warrants trade on The Nasdaq Global Market under the symbols “SEGG” and “LTRYW,” respectively. Our failure to remain in full compliance with these requirements may result in our securities being delisted from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the Company achieved a material regulatory milestone by regaining full compliance with the listing requirements of Nasdaq Stock Market LLC. Specifically, on October 16, 2025, Nasdaq confirmed the resolution of a previously disclosed shareholder-approval deficiency under Listing Rule 5635(c) linked to equity grants made in 2023 and early 2024, and the matter is now formally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removed from Nasdaq’s non-compliant list provides the Company greater operational and financial flexibility to pursue its growth agenda across sports, entertainment and gaming verticals (including its core brands Sports.com, Concerts.com and Lottery.com).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requirement that we maintain a majority of independent directors and at least three members on our audit committee are Nasdaq requirements that we currently meet but have not met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Company’s securities are delisted from Nasdaq, it could be more difficult to buy and sell the Company’s common stock and warrants or to obtain accurate quotations, and the price of the Company’s common stock and warrants could suffer a material decline. Delisting could also impair the Company’s ability to raise capital or trigger defaults and penalties under its outstanding agreements or securities. Further, there is no guarantee that we will be able to maintain our listing for any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Delisting from Nasdaq could also result in negative publicity. Further, if we are delisted, we would also incur additional costs under state blue sky laws in connection with any sales of our securities. These requirements could severely limit the market liquidity of our common stock or warrants and the ability of our stockholders to sell our common stock or warrants in the secondary market. If our common stock or warrants are delisted by Nasdaq, our common stock or warrants may be eligible to trade on an over-the-counter quotation system, such as the OTCQB Market, where an investor may find it more difficult to sell our stock or obtain accurate quotations as to the market value of our common stock or warrants. In the event our common stock or warrants are delisted from The Nasdaq Global Market, we may not be able to list our common stock or warrants on another national securities exchange or obtain quotation on an over-the counter quotation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Legacy Matters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29, 2021, we, as AutoLotto, Inc. (“AutoLotto”), consummated the Business Combination with Trident Acquisitions Corp. (“TDAC” and after the Business Combination described herein, the “Company”), pursuant to the terms of that certain Business Combination Agreement, dated as of February 21, 2021 (the “Business Combination Agreement”), by and among TDAC, Trident Merger Sub II Corp., a wholly-owned subsidiary of TDAC (“Merger Sub”) and AutoLotto. Pursuant to the terms of the Business Combination Agreement, Merger Sub merged with and into AutoLotto with AutoLotto surviving the merger as a wholly owned subsidiary of TDAC, which was renamed “Lottery.com Inc.” The aggregate value of the consideration paid by TDAC to the holders of AutoLotto common stock in the Business Combination (excluding shares that might have been issued to former AutoLotto stockholders (the “Sellers”) as earnout consideration) was approximately $440 million, consisting of approximately 2,000,000 shares of common stock valued at $220.00 per share. In addition, each Seller was eligible to receive its pro rata portion of 150,000 Seller Earnout Shares and each Founder Holder was eligible to receive one-third of 100,000 Founder Holders Earnout Shares, subject to adjustments in the normal course of business. Conditions for earning the Seller Earnout Shares and Founder Holders Earnout Shares were not met within the designated deadline and all potential earnout shares were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AutoLotto $30,000,000 Business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4, 2022, AutoLotto entered into a Business Loan Agreement (the “Business Loan”) with bank prov, pursuant to which the Company borrowed $30,000,000 from bank prov, which was evidenced by a $30,000,000 Promissory Note. The Promissory Note accrued interest at the rate of 2.750% per annum (7.750% upon the occurrence of an event of default) and had a maturity date of January 4, 2024. Monthly interest payments were due under the Promissory Note beginning February 4, 2022. The Promissory Note could be repaid at any time without penalty. The Promissory Note included customary events of default for a debt obligation of the size of the Promissory Note. The Business Loan included representations and warranties of AutoLotto and covenants (both positive and negative) which were customary for a transaction of this nature and size, including rights to set off. Upon the occurrence of an event of default, bank prov could declare the entire amount owed immediately due and payable. We were required to pay a 1% commitment fee at the time of our entry into the Business Loan, and another 1% annual loan fee would have been due on the first anniversary thereof.</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Business Loan, upon entering into the agreement, $30,000,000 in a separate account with bank prov was pledged as security for the amount outstanding under the loan (“Collateral Security”). The $30,000,000 Collateral Security became restricted and remained restricted until October 12, 2022, when AutoLotto defaulted on its obligations under the Business Loan and bank prov foreclosed on the $30,000,000 of Collateral Security. The Collateral Security, which was in the form of restricted cash, was presented as a contingent liability on the Company’s balance sheet from March 31, 2022 until the obligation was satisfied in October of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Current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 Agreement with Woodford Eurasia Assets,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7, 2022, the Company entered into a loan agreement with Woodford Eurasia Assets, Ltd. (“Woodford”), (the “Woodford Loan Agreement”) pursuant to which Woodford agreed to provide the Company with up to $52.5 million, subject to certain conditions and requirements, of which, per the Company’s books and records $798,351 was received by December 31, 2023 and is owed pursuant to the terms of the Woodford Loan Agreement. Amounts borrowed accrue interest at the rate of 12% per annum (or 22% per annum upon the occurrence of an event of default) and are due within 12 months of the date of each loan advance. Amounts borrowed can be repaid at any time without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borrowed pursuant to the Woodford Loan Agreement are convertible, at Woodford’s option, into shares of the Company’s common stock, beginning 60 days after the first loan date at the rate of 80% of the lowest publicly available price per share of common stock within 10 business days of the date of the Loan Agreement (which is currently equal to $56.00 per share), subject to a 4.99% beneficial ownership limitation and a separate limitation preventing Woodford from holding more than 19.99% of the issued and outstanding common stock of the Company, without the Company obtaining shareholder approval for such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the Loan Agreement included the resignation of four prior members of the Board (Lisa Borders, Steven M. Cohen, Lawrence Anthony DiMatteo and William Thompson, all of whom resigned from the Board in September 2022), and the appointment of two new independent directors. Subsequent loans under the Woodford Loan Agreement also required the Company to comply with all listing requirements, unless waived by Woodford. The Woodford Loan Agreement also allows Woodford to nominate another director to the Board of Directors, in the event any independent member of the Board of Directors resigns.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of the loans can only be used to restart the Company’s operations and for general corporate purposes agreed to by Woodford.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Woodford Loan Agreement includes confidentiality obligations, representations, warranties, covenants, and events of default, which are customary for a transaction of this size and nature. Included in the Loan Agreement are covenants prohibiting us from (a) making any loan in excess of $1 million or obtaining any loan in an amount exceeding $1 million without the consent of Woodford, which consent may not be unreasonably withheld; (b) selling more than $1 million in assets; (c) maintaining less than enough assets to perform our obligations under the Loan Agreement; (d) encumbering any assets, except in the normal course of business, and not in an amount to exceed $1 million; (e) amending or restating our governing documents; (f) declaring or paying any dividend; (g) issuing any shares which negatively affects Woodford; and (h) repurchasing any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agreed to grant warrants to purchase shares of common stock to Woodford (the “Woodford Warrants”) in an amount equal to 15% of the Company’s then issued and outstanding shares of common stock. Each Woodford Warrant has an exercise price equal to the average of the closing price of the Company’s common stock for each of the ten days prior to the first amount being debited from the bank account of Woodford, which equates to a current exercise price of $56.00 per share. In the event the Company fails to repay the amounts borrowed when due or Woodford fails to convert the amount owed into shares, the exercise price of the warrants may be offset by amounts owed to Woodford, and in such case, the exercise price of the warrants will be subject to a further 25% discount.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entry into the Woodford Loan Agreement, the Company also entered into a Loan Agreement Deed, Debenture Deed and Securitization, with Woodford (the “Security Agreement”), which provides Woodford with a first floating charge security interest over all present and future assets of the Company in order to secure the repayment of amounts owed under the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2023, the Company entered into an amendment of the Woodford Loan Agreement (the “Woodford Loan Agreement Amendment”). The Woodford Loan Agreement Amendment provides that Woodford shall henceforth be able to convert, in whole or in part, the outstanding balance of its loan into the conversion shares at a conversion price that represents a further 25% discount to the original conversion price of 20%. The validity and application of the Woodford Loan Agreement Amendment is disputed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requests from the Company, Woodford has repeatedly amongst other things: failed to prove the amounts borrowed by the Company or claimed to have been advanced by Woodford to the Company; failed to indicate if it would accept accelerated payment of those verified amounts; failed to provide an anti-money laundering acceptable account to which payment could be made by the Company and failed to explain failure to respond to requests for other funding to be accepted in the context of the Woodford Loan Agreement; failed to respond to requests for funding under the accordion facility of the Woodford Loan Agreement; and failed to respond to allegations of money laundering and conspiracy to defraud the Company and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ongoing legal proceedings with Woodford can be found in the “Legal Proceedings” section of this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2025, the Company filed a Certificate of Amendment (the “Certificate of Amendment”) with the Secretary of State of the State of Delaware to amend the Company’s Third Amended and Restated Certificate of Incorporation to effect, effective as of 5:30 p.m. Eastern Time on August 28, 2025, a 1-for-10 reverse stock split (the “Reverse Stock Split”) of its common stock, par value $0.001 per share (“Common Stock”). At the effective time of the Reverse Stock Split, every ten(10) shares of Common Stock either issued and outstanding or held as treasury stock was automatically reclassified into one new share of Common Stock. The total number of shares of Common Stock authorized for issuance did not change as a result of the Reverse Stock Split. The Reverse Stock Split was approved by the Company’s stockholders at the Company’s 2024 annual meeting of its stockholders held virtually on February 20, 2025 (the “Annual Meeting”) and approved by the board of directors of the Company (the “Board”) on August 13,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result of the Reverse Stock Split, proportionate adjustments were made to the number of shares of Common Stock underlying the Company’s outstanding equity awards, the number of shares issuable upon the exercise of the Company’s outstanding warrants and the number of shares issuable under the Company’s equity incentive plans and certain existing agreements, as well as the exercise, grant and acquisition prices of such equity awards and warrants,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adjustment was made to the Company’s warrants based on the 1-for-10 split ratio. The adjustment was made automatically. The number of shares of common stock issued subject to stock options, warrants, or convertible securities was automatically decreased by the split ratio and the exercise price or conversion ratio will automatically be proportionately increased by the same split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the Reverse Stock Split were reflected in the Quarterly Report on Form 10-Q for the period ended September 30, 2025 and in all subsequent reports for all periods presented.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2022 Operational Cessation, the Company’s subsidiaries have continued to operate under the direction of the leadership teams that were in place prior to the Company’s acquisition of such companies. While the operational activities of these subsidiaries vary, from the 2022 Operational Cessation through the date of this Report, each of Aganar and JuegaLotto have decreased their expenses and has had their revenues remain consistent or decrease slightly from pre-Operational Cessation levels. TinBu has decreased its expenses and had their revenues remain consistent for a period of time but revenues continue to decrease from pre-Operational Cessation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Data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we acquired TinBu, LLC (“TinBu”), a digital publisher and provider of lottery data results, jackpots, and other related data, as a wholly owned subsidiary. Through TinBu, our Data Service delivers daily results of over 800 domestic and international lottery games from more than 40 countries, including the U.S., Canada, and the United Kingdom, to over 400 digital publishers and media organizations. See “</w:t>
      </w:r>
      <w:r>
        <w:rPr>
          <w:rFonts w:ascii="Times New Roman;Times;Serif" w:hAnsi="Times New Roman;Times;Serif"/>
          <w:b w:val="false"/>
          <w:i/>
          <w:caps w:val="false"/>
          <w:smallCaps w:val="false"/>
          <w:sz w:val="20"/>
        </w:rPr>
        <w:t>Item 1A. Risk Factors – We are party to pending litigation and investigations in various jurisdictions and with various plaintiffs and we may be subject to future litigation or investigations in the operation of our business. An adverse outcome in one or more proceedings could adversely affect our business, financial condition, and results of operations</w:t>
      </w:r>
      <w:r>
        <w:rPr>
          <w:rFonts w:ascii="Times New Roman;Times;Serif" w:hAnsi="Times New Roman;Times;Serif"/>
          <w:b w:val="false"/>
          <w:i w:val="false"/>
          <w:caps w:val="false"/>
          <w:smallCaps w:val="false"/>
          <w:sz w:val="20"/>
        </w:rPr>
        <w:t>” for more information about our relationship with Tinbu.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technology pulls real time primary source data, and, in some instances, we acquire data from dedicated data feeds from the lottery authorities. Our data is constantly monitored to ensure accuracy and timely delivery. We are not required to obtain licenses or approvals from the lottery authorities to pull this primary source data or to acquire the data from such dedicated feeds. Commercial acquirers of our Data Service pay a subscription for access to the Data Service and, for acquisition of certain large data sets, an additional per record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additionally enter into multi-year contracts pursuant to which we sell proprietary, anonymized transaction data pursuant to multi-year agreements and in accordance with our Terms of Service in consideration of a fee and in other instances provide the Data Service within a bundle of provided services.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Aganar and JuegaLotto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2021, we acquired 100% of the equity of Global Gaming Enterprises, Inc., a Delaware corporation (“Global Gaming”), which holds 80% of the equity of each of Medios Electronicos y de Comunicacion, S.A.P.I de C.V. (“Aganar”) and JuegaLotto, S.A. de C.V. (“JuegaLotto”). JuegaLotto is federally licensed by the Mexican regulatory authorities with jurisdiction over the ability to commercialize lottery games in Mexico through an authorized federal gaming portal and to commercialize games of chance in other countries throughout Latin America. Aganar has been operating in the licensed Online Lottery market in Mexico since 2007 and has certain rights to sell Mexican National Lottery draw games, instant win tickets, and other games of chance online with access to a federally approved online casino and sportsbook gaming license and additionally issues a proprietary scratch lottery game in Mexico under the brand name Capalli. See “</w:t>
      </w:r>
      <w:r>
        <w:rPr>
          <w:rFonts w:ascii="Times New Roman;Times;Serif" w:hAnsi="Times New Roman;Times;Serif"/>
          <w:b w:val="false"/>
          <w:i/>
          <w:caps w:val="false"/>
          <w:smallCaps w:val="false"/>
          <w:sz w:val="20"/>
        </w:rPr>
        <w:t xml:space="preserve">Item 1A. Risk Factors – We need additional capital to, among other things, support and restart our operations, re-hire employees and pay our expenses. Such capital may not be available on commercially acceptable terms, if at all. If we do not receive the additional capital, we may be forced to curtail or abandon our plans to recommence our operations and we may need to permanently cease our operations” </w:t>
      </w:r>
      <w:r>
        <w:rPr>
          <w:rFonts w:ascii="Times New Roman;Times;Serif" w:hAnsi="Times New Roman;Times;Serif"/>
          <w:b w:val="false"/>
          <w:i w:val="false"/>
          <w:caps w:val="false"/>
          <w:smallCaps w:val="false"/>
          <w:sz w:val="20"/>
        </w:rPr>
        <w:t>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Sports.com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2021, we finalized the acquisition of the domain name </w:t>
      </w:r>
      <w:r>
        <w:rPr>
          <w:rFonts w:ascii="Times New Roman;Times;Serif" w:hAnsi="Times New Roman;Times;Serif"/>
          <w:b w:val="false"/>
          <w:i w:val="false"/>
          <w:caps w:val="false"/>
          <w:smallCaps w:val="false"/>
          <w:sz w:val="20"/>
          <w:u w:val="single"/>
        </w:rPr>
        <w:t>https://sports.com</w:t>
      </w:r>
      <w:r>
        <w:rPr>
          <w:rFonts w:ascii="Times New Roman;Times;Serif" w:hAnsi="Times New Roman;Times;Serif"/>
          <w:b w:val="false"/>
          <w:i w:val="false"/>
          <w:caps w:val="false"/>
          <w:smallCaps w:val="false"/>
          <w:sz w:val="20"/>
        </w:rPr>
        <w:t>. On March 26, 2025, the Company registered Sports.com as a fictious name in the state of Florida under AutoLotto, Inc. Content provided by Sports.com is currently available worldwide as a website and a mobile application. The website was relaunched in August 2025.</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entered into a multi-year global partnership with Soccerex, the world’s leading soccer business event organizer. The Agreement makes Sports.com the title sponsor for six global events including Soccerex 2025 for MENA, Europe and USA which were held in Cairo, Amsterdam and Miami, respectively. In April 2026, the Company renewed the sponsorship for an additional two years and participated in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celebration of Soccerex which was held in Amsterdam in May 2026.</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collaboration provides the Company with an influential platform to engage with key stakeholders in the football industry, further solidifying Sports.com’s position at the intersection of sports, technology and entertainment. Working with the Soccerex team and its community presents an opportunity to build brand awareness internationally for the Company’s gaming, content and entertainment brands.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entered into sponsorship agreements with Louis Foster and Calum Ilott, drivers in the NTT IndyCar Series, and Sebastain Murray, a driver in the INDY NXT by Firestone series. The agreements provide the Company’s brands with exposure throughout the 2025 racing seasons with vehicle and attire logo placement and social media postings by the drivers.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2025, the Company appointed Tamer Hassan as president of Sports.com Studios, Ltd. In this role, Hassan will lead the division’s creative and strategic efforts to develop, produce and distribute compelling sports-focused films, docuseries, and premium digital content. This new arm of the business will serve as the cornerstone of Sports.com’s global expansion into entertainment media and immersive storytelling.</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2025, the Company appointed Tim Scoffham CEO of Sports.com Media Group, Ltd. In this role, Scoffham will oversee the strategic integration and international expansion of Sports.com Media, a premium digital sports content and engagement platform. His leadership will focus on aligning commercial, media, and technology platforms, bolstering regulatory partnerships, and unlocking scalable, revenue-generating opportunities in high-growth markets.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17, 2025, the Company </w:t>
      </w:r>
      <w:r>
        <w:rPr>
          <w:rFonts w:ascii="Times New Roman;Times;Serif" w:hAnsi="Times New Roman;Times;Serif"/>
          <w:b w:val="false"/>
          <w:i w:val="false"/>
          <w:caps w:val="false"/>
          <w:smallCaps w:val="false"/>
          <w:sz w:val="20"/>
          <w:shd w:fill="FEFEFE" w:val="clear"/>
        </w:rPr>
        <w:t xml:space="preserve">entered into its first official football league partnership in the Indian subcontinent through a five-year commercial agreement with the Super League Kerala (“SLK”), valued at more than $11.6 million based on estimated advertising and sponsorship revenue. </w:t>
      </w:r>
      <w:r>
        <w:rPr>
          <w:rFonts w:ascii="Times New Roman;Times;Serif" w:hAnsi="Times New Roman;Times;Serif"/>
          <w:b w:val="false"/>
          <w:i w:val="false"/>
          <w:caps w:val="false"/>
          <w:smallCaps w:val="false"/>
          <w:sz w:val="20"/>
        </w:rPr>
        <w:t>The agreement establishes SEGG Media and Sports.com as the exclusive global commercial and broadcast partner for SLK, encompassing: exclusive international streaming rights across all territories; integrated gaming and fan engagement products; global sponsorship and brand activation rights; and distribution focus across the Indian subcontinent and MENA, especially targeting the vast Keralite diaspora in the Middle East, North America, and Europe.</w:t>
      </w:r>
    </w:p>
    <w:p>
      <w:pPr>
        <w:pStyle w:val="TextBody"/>
        <w:bidi w:val="0"/>
        <w:ind w:left="0" w:right="0" w:firstLine="63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Sports.com Studios Ltd, entered into a revenue-driven co-production partnership with GOATS Entertainment (Greatest Of All Time) on August 7, 2025. This alliance will transform the legacies of the world’s greatest athletes into cash-generative content assets, combining premium docuseries, exclusive merchandise, global fan activations, and immersive storytelling. The collaboration is designed to drive high-margin revenue streams across OTT, e-commerce, experiential and licensing platforms.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 10, 2025, Sports.com Studios entered into a strategic global distribution partnership with the Døds Diving League (“DDL”), the official global platform for the world’s fastest-growing extreme sport. The partnership will be managed by Sports.com Studios Ltd, the newly launched sports content subsidiary of SEGG Media. The partnership will bring the thrill of Døds to millions of fans worldwide. Under the agreement, Sports.com Studios became a global distribution partner for DDL events, ensuring competitions and original content will be delivered through Sports.com 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Sports.com content surpassed 102 million views across all platforms. The growth was driven by surging interest in the Kerala Super League, and the Company’s accelerating global social-media presence.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Nook Holdings,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2025, the company entered into an Amended Stock Purchase Agreement with the shareholders of Nook Holdings Limited (“Nook”), a private limited company incorporated and registered in the Abu Dhabi Global Market, Abu Dhabi, United Arab Emirates (“UAE”). The total purchase price for the acquisition of 90% of Nook is approximately $2.46 million. The Company has paid $1,470,000 towards the acquisition and anticipates the transaction closing at a time when the current unrest in the Middle East surrounding the US war with Iran has subsided. Nook is known for its innovative approach to co-working in Dubai and has procured 200 licenses for individuals and companies in the sports, health and wellness sector seeking access to Dubai and the broader Middle Eastern market. With its exclusive partnership with the Dubai Multi-Commodities Centre Free Zone (DMCC), Nook offers a wide range of services, including business setup support, insurance, VAT registration, and networking opportunities for like-minded sports entrepreneurs. As part of the acquisition, Nook will be rebranded under the Sports.com umbrella.</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Company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filing, the current estimated cash balance of the Company and its subsidiaries is approximately $111,961. The Company believes that this cash on hand, along with future borrowings, will be sufficient for the Company to meet it current operational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our common stock and warrants are traded on The Nasdaq Stock Market LLC (“Nasdaq”) under the ticker symbols “SEGG” and “LTRYW,” respectively. As of the date of this Report, we are not in compliance with Nasdaq’s continued listing requirements (the “Listing Rules”). See, “</w:t>
      </w:r>
      <w:r>
        <w:rPr>
          <w:rFonts w:ascii="Times New Roman;Times;Serif" w:hAnsi="Times New Roman;Times;Serif"/>
          <w:b w:val="false"/>
          <w:i/>
          <w:caps w:val="false"/>
          <w:smallCaps w:val="false"/>
          <w:sz w:val="20"/>
        </w:rPr>
        <w:t>Risk Factors - Risks Related to Our Common Stock and Warrants – We are not currently in full compliance with the continued listing standards of Nasdaq, we may not be able to regain full compliance with Nasdaq’s continued listing standards in the future</w:t>
      </w:r>
      <w:r>
        <w:rPr>
          <w:rFonts w:ascii="Times New Roman;Times;Serif" w:hAnsi="Times New Roman;Times;Serif"/>
          <w:b w:val="false"/>
          <w:i w:val="false"/>
          <w:caps w:val="false"/>
          <w:smallCaps w:val="false"/>
          <w:sz w:val="20"/>
        </w:rPr>
        <w:t>.” Additionally, under its new management, the Company continues to work to improve its disclosure and reporting controls. Also, the Company plans to continue to improve its systems of internal control over financial reporting and invest in additional legal, accounting, and financial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when the Company has full operations in its sports, entertainment, and gaming verticals, there can be no assurance that the Company will be able to remain in compliance with the applicable Nasdaq Listing Rules. If the Company’s securities are delisted from Nasdaq, it could be more difficult to buy or sell the Company’s common stock and warrants or to obtain accurate quotations, and the price of the Company’s common stock and warrants could suffer a material decline. Delisting could also impair the Company’s ability to raise additional capital needed to fund its operations or trigger defaults and penalties under outstanding agreements or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have sufficient capital to support our operations and pay expenses, repay our debt, or that additional funds will be available on favorable terms, if at all. We may not be able to restart our operations or generate sufficient funding to support such operations in the future. The Company’s ability to continue its current operations, prepare and refile deficient and restated reports, and restart its prior operations, is dependent upon obtaining new financing. Future financing options available to the Company include equity financings, debt financings or other capital sources, including collaborations with other companies or other strategic transactions. Equity financings may include sales of common stock. Such financing may not be available on terms favorable to the Company or at all. The terms of any financing may adversely affect the holdings or rights of the Company’s stockholders and may cause significant dilution to existing stockholders. There can be no assurance that the Company will be successful in obtaining sufficient funding on terms acceptable to the Company, if at all, which would have a material adverse effect on its business, financial condition and results of operations, and it could ultimately be forced to discontinue its operations and liquidate. These matters, when considered in the aggregate, raise substantial doubt about the Company’s ability to continue as a going concern for a reasonable period of time, which is defined as within one year after the date that the financial statements are issued. The accompanying financial statements do not contain any adjustments to reflect the possible future effects on the classification of assets or the amounts and classification of liabilities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6" w:name="SL_01"/>
      <w:bookmarkEnd w:id="56"/>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57" w:name="SL_02"/>
      <w:bookmarkEnd w:id="57"/>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Legacy Matters on Current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Matters have had, and continue to have, a material impact on the Company’s current operations, financial condition, and strategic execution. While the Company has transitioned from stabilization toward execution of its strategic growth phase, the effects of prior operational disruption, control deficiencies, and capital constraints remain relevant to an understanding of current performance.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Operational Restart and Execution Focus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cessation of certain legacy operations in 2022, the Company has been engaged in a phased operational restart. Current operations reflect a transition from a legacy model primarily dependent on lottery-based revenue toward a more diversified platform across sports, entertainment, and gaming.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period-over-period comparisons may not be indicative of underlying performance trends, as prior periods reflect a fundamentally different operating structure. Current operating results are more closely aligned with early-stage platform development, integration of newly acquired or partnered assets, and the reestablishment of commercial activities.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Profile and Business Mix</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historical concentration in lottery-related revenue has been replaced by a broader, but still developing, revenue base. While this transition is expected to improve long-term scalability and diversification, it has resulted in near-term variability in revenue and limited comparability to historical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generation in the current period is increasingly tied to digital media, content platforms, and strategic acquisitions, including the Company’s investment in Veloce, which expands the Company’s reach into global digital motorsports and gaming audiences. These platforms introduce different revenue recognition patterns, margin profiles, and monetization timelines compared to the Company’s legacy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Cost Structure and Investment Requirements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cost structure has been significantly impacted by its transition. Current operating expenses reflect:</w:t>
      </w:r>
    </w:p>
    <w:p>
      <w:pPr>
        <w:pStyle w:val="TextBody"/>
        <w:bidi w:val="0"/>
        <w:spacing w:before="0" w:after="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investments in stabilizing and growing operational capabilities;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integration of acquisitions and strategic initiatives, including Veloce-related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fees related to legal, accounting, and compliance matters stemming from Legacy Matters;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investment in infrastructure necessary to support scalable operating platforms.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costs are expected to remain elevated in the near term as the Company continues to execute its transformation strategy as part of the strategic growth phase.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Liquidity and Capital Allocation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Matters have materially affected the Company’s liquidity profile, necessitating a continued reliance on external financing to fund operations and strategic initiatives.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the Company entered into a Securities Purchase Agreement pursuant to which it agreed to issue unsecured convertible promissory notes in an aggregate principal amount of up to approximately $11.8 million, to be funded in multiple tranches. The initial tranche was funded upon execution, with subsequent tranches subject to customary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financing, along with other recent capital raises, have been critical in supporting the Company’s operational restart, funding strategic initiatives, and addressing obligations arising from Legacy Matters. However, such financings have resulted in, and may continue to result in, dilution to existing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implemented a disciplined capital allocation framework focused on deploying capital into revenue-generating opportunities and initiatives that are expected to support near- to medium-term financial performance. The Company’s ability to execute its strategy remains dependent on its ability to access additional capital on acceptable terms.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Internal Controls and Reporting Processes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operate under a remediation plan to address previously identified material weaknesses in internal control over financial reporting. While progress has been made, these matters continue to impact the Company’s financial reporting processes, including the timing and complexity of period-end close and reporting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continues to invest in personnel, systems, and processes to strengthen the control environment and support scalable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Execution and Integration Risk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current strategy includes the acquisition and integration of complementary businesses and platforms. While these initiatives are expected to contribute to revenue growth and strategic positioning, they introduce execution risks, including integration complexity, alignment of operating models, and realization of anticipated synergies.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Matters have necessitated a more measured and disciplined approach to execution, with an emphasis on transactions that are expected to deliver tangible revenue contributions and align with the Company’s capital constraints.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Inflection Point and Transition to Execution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the Company has reached an inflection point in its transformation. Having addressed critical Legacy Matters, stabilized operations, and secured incremental capital, the Company is transitioning from a period defined by remediation and restructuring to one focused on execution and revenue generation as part of the strategic growth phase.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inflection point is characterized by:</w:t>
      </w:r>
    </w:p>
    <w:p>
      <w:pPr>
        <w:pStyle w:val="TextBody"/>
        <w:bidi w:val="0"/>
        <w:spacing w:before="0" w:after="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75"/>
        <w:gridCol w:w="170"/>
        <w:gridCol w:w="74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reactivation of core operations following prior cessation;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deployment of capital into strategic acquisitions and partnerships, including Veloce;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establishment of a more diversified revenue model beyond lottery-based activities;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a more disciplined operating and capital allocation framework.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risks remain, including liquidity constraints and execution risk associated with integrating new platforms, management believes the Company is better positioned to pursue scalable growth opportunities and improve operating performance.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Ongoing Impact and Path Forward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progress achieved, Legacy Matters continue to influence the Company’s current operations, including through elevated operating costs, a transitional revenue profile, and ongoing capital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remains focused on scaling revenue-generating operations, improving operating efficiency, strengthening the balance sheet, and continuing to enhance internal controls and compliance processes. The Company’s future performance will depend on its ability to successfully execute this strategy and convert its repositioned platform into sustainable revenue growth and long-term stockholder value.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Current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derives its revenue from three areas of focus: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Data Services. </w:t>
      </w:r>
      <w:r>
        <w:rPr>
          <w:rFonts w:ascii="Times New Roman;Times;Serif" w:hAnsi="Times New Roman;Times;Serif"/>
          <w:b w:val="false"/>
          <w:i w:val="false"/>
          <w:caps w:val="false"/>
          <w:smallCaps w:val="false"/>
          <w:sz w:val="20"/>
        </w:rPr>
        <w:t>Commercial acquirers of our Data Service pay a subscription for access to the Data Service and, for acquisition of certain large data sets, an additional per record fee. The Company additionally enters into multi-year contracts pursuant to which it sells proprietary, anonymized transaction data under multi-year agreements and in accordance with our Terms of Service in consideration of a fee.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Digital Media and Advertising </w:t>
      </w:r>
      <w:r>
        <w:rPr>
          <w:rFonts w:ascii="Times New Roman;Times;Serif" w:hAnsi="Times New Roman;Times;Serif"/>
          <w:b w:val="false"/>
          <w:i w:val="false"/>
          <w:caps w:val="false"/>
          <w:smallCaps w:val="false"/>
          <w:sz w:val="20"/>
        </w:rPr>
        <w:t>Revenue generated from our digital media platforms is primarily driven by audience scale, engagement, and monetization through advertising, sponsorships, and content partnerships.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Gaming Platforms</w:t>
      </w:r>
      <w:r>
        <w:rPr>
          <w:rFonts w:ascii="Times New Roman;Times;Serif" w:hAnsi="Times New Roman;Times;Serif"/>
          <w:b w:val="false"/>
          <w:i w:val="false"/>
          <w:caps w:val="false"/>
          <w:smallCaps w:val="false"/>
          <w:sz w:val="20"/>
        </w:rPr>
        <w:t xml:space="preserve"> Our gaming and interactive revenue in 2025 was driven by our Mexican operations and includes iLottery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Operating Costs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Personnel Costs. </w:t>
      </w:r>
      <w:r>
        <w:rPr>
          <w:rFonts w:ascii="Times New Roman;Times;Serif" w:hAnsi="Times New Roman;Times;Serif"/>
          <w:b w:val="false"/>
          <w:i w:val="false"/>
          <w:caps w:val="false"/>
          <w:smallCaps w:val="false"/>
          <w:sz w:val="20"/>
        </w:rPr>
        <w:t>Personnel costs include salaries, payroll taxes, health insurance, worker’s compensation and other benefits for management and office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Professional Fees. </w:t>
      </w:r>
      <w:r>
        <w:rPr>
          <w:rFonts w:ascii="Times New Roman;Times;Serif" w:hAnsi="Times New Roman;Times;Serif"/>
          <w:b w:val="false"/>
          <w:i w:val="false"/>
          <w:caps w:val="false"/>
          <w:smallCaps w:val="false"/>
          <w:sz w:val="20"/>
        </w:rPr>
        <w:t>Professional fees include fees paid for legal and financial advisors, accountants and other professionals related to the Business Combination and other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General and Administrative. </w:t>
      </w:r>
      <w:r>
        <w:rPr>
          <w:rFonts w:ascii="Times New Roman;Times;Serif" w:hAnsi="Times New Roman;Times;Serif"/>
          <w:b w:val="false"/>
          <w:i w:val="false"/>
          <w:caps w:val="false"/>
          <w:smallCaps w:val="false"/>
          <w:sz w:val="20"/>
        </w:rPr>
        <w:t>General and administrative expenses include marketing and advertising expenses, office and facilities lease payments, travel expenses, bank fees, software dues and subscriptions, expensed research and development (“R&amp;D”) costs and other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Depreciation and Amortization. </w:t>
      </w:r>
      <w:r>
        <w:rPr>
          <w:rFonts w:ascii="Times New Roman;Times;Serif" w:hAnsi="Times New Roman;Times;Serif"/>
          <w:b w:val="false"/>
          <w:i w:val="false"/>
          <w:caps w:val="false"/>
          <w:smallCaps w:val="false"/>
          <w:sz w:val="20"/>
        </w:rPr>
        <w:t>Depreciation and amortization expenses include depreciation and amortization expenses on real property and other assets.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Trends and Factors Affecting Our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and financial condition are influenced by trends affecting our core business focuses—digital media, sports and esports, ticketing and live experiences, and gaming and interactive platforms—as well as broader strategic, regulatory, and capital market factors.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Digital Media and Advertising </w:t>
      </w:r>
      <w:r>
        <w:rPr>
          <w:rFonts w:ascii="Times New Roman;Times;Serif" w:hAnsi="Times New Roman;Times;Serif"/>
          <w:b w:val="false"/>
          <w:i w:val="false"/>
          <w:caps w:val="false"/>
          <w:smallCaps w:val="false"/>
          <w:sz w:val="20"/>
        </w:rPr>
        <w:t>Revenue generated from our digital media platforms is primarily driven by audience scale, engagement, and monetization through advertising, sponsorships, and content partnerships. Key factors affecting this area include:</w:t>
      </w:r>
    </w:p>
    <w:p>
      <w:pPr>
        <w:pStyle w:val="TextBody"/>
        <w:bidi w:val="0"/>
        <w:jc w:val="both"/>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17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 in global audience reach and monthly impressions across owned and partner platforms;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dynamics in digital advertising markets, including CPM variability and demand from brand advertisers;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on third-party distribution platforms and associated algorithm or policy changes;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investment in content creation, talent, and technology infrastructure.</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 this area may fluctuate based on seasonality in advertising spend, major sporting or entertainment events, and changes in platform monetization policies.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Sports and Esports Operations</w:t>
      </w:r>
      <w:r>
        <w:rPr>
          <w:rFonts w:ascii="Times New Roman;Times;Serif" w:hAnsi="Times New Roman;Times;Serif"/>
          <w:b w:val="false"/>
          <w:i w:val="false"/>
          <w:caps w:val="false"/>
          <w:smallCaps w:val="false"/>
          <w:sz w:val="20"/>
        </w:rPr>
        <w:t xml:space="preserve"> Our sports and esports business generates revenue through sponsorships, commercial partnerships, media rights, and team-related activities. Results in this segment are influenced by:</w:t>
      </w:r>
    </w:p>
    <w:p>
      <w:pPr>
        <w:pStyle w:val="TextBody"/>
        <w:bidi w:val="0"/>
        <w:jc w:val="both"/>
        <w:rPr>
          <w:caps w:val="false"/>
          <w:smallCaps w:val="false"/>
        </w:rPr>
      </w:pPr>
      <w:r>
        <w:rPr>
          <w:caps w:val="false"/>
          <w:smallCaps w:val="false"/>
        </w:rPr>
        <w:t> </w:t>
      </w:r>
    </w:p>
    <w:tbl>
      <w:tblPr>
        <w:tblW w:w="7353" w:type="dxa"/>
        <w:jc w:val="left"/>
        <w:tblInd w:w="0" w:type="dxa"/>
        <w:tblLayout w:type="fixed"/>
        <w:tblCellMar>
          <w:top w:w="0" w:type="dxa"/>
          <w:left w:w="0" w:type="dxa"/>
          <w:bottom w:w="0" w:type="dxa"/>
          <w:right w:w="0" w:type="dxa"/>
        </w:tblCellMar>
      </w:tblPr>
      <w:tblGrid>
        <w:gridCol w:w="38"/>
        <w:gridCol w:w="170"/>
        <w:gridCol w:w="71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45" w:type="dxa"/>
            <w:tcBorders/>
            <w:vAlign w:val="center"/>
          </w:tcPr>
          <w:p>
            <w:pPr>
              <w:pStyle w:val="TableContents"/>
              <w:bidi w:val="0"/>
              <w:spacing w:before="0" w:after="283"/>
              <w:jc w:val="both"/>
              <w:rPr/>
            </w:pPr>
            <w:r>
              <w:rPr/>
              <w:t>the performance and visibility of affiliated teams and leagues;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45" w:type="dxa"/>
            <w:tcBorders/>
            <w:vAlign w:val="center"/>
          </w:tcPr>
          <w:p>
            <w:pPr>
              <w:pStyle w:val="TableContents"/>
              <w:bidi w:val="0"/>
              <w:spacing w:before="0" w:after="283"/>
              <w:jc w:val="both"/>
              <w:rPr/>
            </w:pPr>
            <w:r>
              <w:rPr/>
              <w:t>the ability to secure and renew commercial partnerships with global brands;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45" w:type="dxa"/>
            <w:tcBorders/>
            <w:vAlign w:val="center"/>
          </w:tcPr>
          <w:p>
            <w:pPr>
              <w:pStyle w:val="TableContents"/>
              <w:bidi w:val="0"/>
              <w:spacing w:before="0" w:after="283"/>
              <w:jc w:val="both"/>
              <w:rPr/>
            </w:pPr>
            <w:r>
              <w:rPr/>
              <w:t>growth in esports viewership and engagement;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45" w:type="dxa"/>
            <w:tcBorders/>
            <w:vAlign w:val="center"/>
          </w:tcPr>
          <w:p>
            <w:pPr>
              <w:pStyle w:val="TableContents"/>
              <w:bidi w:val="0"/>
              <w:spacing w:before="0" w:after="283"/>
              <w:jc w:val="both"/>
              <w:rPr/>
            </w:pPr>
            <w:r>
              <w:rPr/>
              <w:t>expansion into new sports formats, leagues, and international markets.</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area may experience variability based on competitive performance, event timing, and the timing of sponsorship agreements.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Ticketing and Live Experiences</w:t>
      </w:r>
      <w:r>
        <w:rPr>
          <w:rFonts w:ascii="Times New Roman;Times;Serif" w:hAnsi="Times New Roman;Times;Serif"/>
          <w:b w:val="false"/>
          <w:i w:val="false"/>
          <w:caps w:val="false"/>
          <w:smallCaps w:val="false"/>
          <w:sz w:val="20"/>
        </w:rPr>
        <w:t xml:space="preserve"> Revenue from ticketing and live experiences will be driven by consumer demand for events, platform adoption, and strategic partnerships. Key factors include:</w:t>
      </w:r>
    </w:p>
    <w:p>
      <w:pPr>
        <w:pStyle w:val="TextBody"/>
        <w:bidi w:val="0"/>
        <w:jc w:val="both"/>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38"/>
        <w:gridCol w:w="17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both"/>
              <w:rPr/>
            </w:pPr>
            <w:r>
              <w:rPr/>
              <w:t>volume of ticket sales and transaction-based revenue;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both"/>
              <w:rPr/>
            </w:pPr>
            <w:r>
              <w:rPr/>
              <w:t>relationships with venues, promoters, and rights holders;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both"/>
              <w:rPr/>
            </w:pPr>
            <w:r>
              <w:rPr/>
              <w:t>seasonality tied to event calendars and major tours or sporting events;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both"/>
              <w:rPr/>
            </w:pPr>
            <w:r>
              <w:rPr/>
              <w:t>consumer discretionary spending trends and macroeconomic conditions.</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in this area may also be impacted by the timing of large-scale events and the pace of platform development and market adoption.</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Gaming and Interactive Platforms</w:t>
      </w:r>
      <w:r>
        <w:rPr>
          <w:rFonts w:ascii="Times New Roman;Times;Serif" w:hAnsi="Times New Roman;Times;Serif"/>
          <w:b w:val="false"/>
          <w:i w:val="false"/>
          <w:caps w:val="false"/>
          <w:smallCaps w:val="false"/>
          <w:sz w:val="20"/>
        </w:rPr>
        <w:t xml:space="preserve"> Our gaming and interactive business focus includes or will include initiatives in predictive gaming, digital engagement, and related technologies. Performance in this area is influenced by:</w:t>
      </w:r>
    </w:p>
    <w:p>
      <w:pPr>
        <w:pStyle w:val="TextBody"/>
        <w:bidi w:val="0"/>
        <w:jc w:val="both"/>
        <w:rPr>
          <w:caps w:val="false"/>
          <w:smallCaps w:val="false"/>
        </w:rPr>
      </w:pPr>
      <w:r>
        <w:rPr>
          <w:caps w:val="false"/>
          <w:smallCaps w:val="false"/>
        </w:rPr>
        <w:t> </w:t>
      </w:r>
    </w:p>
    <w:tbl>
      <w:tblPr>
        <w:tblW w:w="8568" w:type="dxa"/>
        <w:jc w:val="left"/>
        <w:tblInd w:w="0" w:type="dxa"/>
        <w:tblLayout w:type="fixed"/>
        <w:tblCellMar>
          <w:top w:w="0" w:type="dxa"/>
          <w:left w:w="0" w:type="dxa"/>
          <w:bottom w:w="0" w:type="dxa"/>
          <w:right w:w="0" w:type="dxa"/>
        </w:tblCellMar>
      </w:tblPr>
      <w:tblGrid>
        <w:gridCol w:w="38"/>
        <w:gridCol w:w="170"/>
        <w:gridCol w:w="8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both"/>
              <w:rPr/>
            </w:pPr>
            <w:r>
              <w:rPr/>
              <w:t>regulatory frameworks governing gaming and event-based contracts across jurisdictions;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both"/>
              <w:rPr/>
            </w:pPr>
            <w:r>
              <w:rPr/>
              <w:t>user acquisition, retention, and engagement levels;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both"/>
              <w:rPr/>
            </w:pPr>
            <w:r>
              <w:rPr/>
              <w:t>product development timelines and platform scalability;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both"/>
              <w:rPr/>
            </w:pPr>
            <w:r>
              <w:rPr/>
              <w:t>strategic partnerships with technology providers and market operators.</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part of our business remains subject to evolving regulatory conditions and may require ongoing investment prior to achieving scale.</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Acquisition and Integration Activity</w:t>
      </w:r>
      <w:r>
        <w:rPr>
          <w:rFonts w:ascii="Times New Roman;Times;Serif" w:hAnsi="Times New Roman;Times;Serif"/>
          <w:b w:val="false"/>
          <w:i w:val="false"/>
          <w:caps w:val="false"/>
          <w:smallCaps w:val="false"/>
          <w:sz w:val="20"/>
        </w:rPr>
        <w:t xml:space="preserve"> Across all of our business focus areas, our growth strategy includes the acquisition of complementary businesses and assets. Our results are affected by:</w:t>
      </w:r>
    </w:p>
    <w:p>
      <w:pPr>
        <w:pStyle w:val="TextBody"/>
        <w:bidi w:val="0"/>
        <w:jc w:val="both"/>
        <w:rPr>
          <w:caps w:val="false"/>
          <w:smallCaps w:val="false"/>
        </w:rPr>
      </w:pPr>
      <w:r>
        <w:rPr>
          <w:caps w:val="false"/>
          <w:smallCaps w:val="false"/>
        </w:rPr>
        <w:t> </w:t>
      </w:r>
    </w:p>
    <w:tbl>
      <w:tblPr>
        <w:tblW w:w="6738" w:type="dxa"/>
        <w:jc w:val="left"/>
        <w:tblInd w:w="0" w:type="dxa"/>
        <w:tblLayout w:type="fixed"/>
        <w:tblCellMar>
          <w:top w:w="0" w:type="dxa"/>
          <w:left w:w="0" w:type="dxa"/>
          <w:bottom w:w="0" w:type="dxa"/>
          <w:right w:w="0" w:type="dxa"/>
        </w:tblCellMar>
      </w:tblPr>
      <w:tblGrid>
        <w:gridCol w:w="38"/>
        <w:gridCol w:w="170"/>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before="0" w:after="283"/>
              <w:jc w:val="both"/>
              <w:rPr/>
            </w:pPr>
            <w:r>
              <w:rPr/>
              <w:t>the timing of acquisition closings and associated transaction costs;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before="0" w:after="283"/>
              <w:jc w:val="both"/>
              <w:rPr/>
            </w:pPr>
            <w:r>
              <w:rPr/>
              <w:t>integration execution and realization of expected synergies;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before="0" w:after="283"/>
              <w:jc w:val="both"/>
              <w:rPr/>
            </w:pPr>
            <w:r>
              <w:rPr/>
              <w:t>the revenue and profitability profile of acquired businesses;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before="0" w:after="283"/>
              <w:jc w:val="both"/>
              <w:rPr/>
            </w:pPr>
            <w:r>
              <w:rPr/>
              <w:t>the use of equity or other consideration, which may result in dilution.</w:t>
            </w:r>
          </w:p>
        </w:tc>
      </w:tr>
    </w:tbl>
    <w:p>
      <w:pPr>
        <w:pStyle w:val="TextBody"/>
        <w:bidi w:val="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period-over-period comparisons may be impacted by acquisition timing and integration progress.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 Resources and Funding Strategy </w:t>
      </w:r>
      <w:r>
        <w:rPr>
          <w:rFonts w:ascii="Times New Roman;Times;Serif" w:hAnsi="Times New Roman;Times;Serif"/>
          <w:b w:val="false"/>
          <w:i w:val="false"/>
          <w:caps w:val="false"/>
          <w:smallCaps w:val="false"/>
          <w:sz w:val="20"/>
        </w:rPr>
        <w:t>Execution across our segments depends on available capital and disciplined allocation of resources. We prioritize investments that support near-term revenue generation or are supported by committed funding sources. Our results may be affected by:</w:t>
      </w:r>
    </w:p>
    <w:p>
      <w:pPr>
        <w:pStyle w:val="TextBody"/>
        <w:bidi w:val="0"/>
        <w:jc w:val="both"/>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17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both"/>
              <w:rPr/>
            </w:pPr>
            <w:r>
              <w:rPr/>
              <w:t>access to capital and cost of financing;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both"/>
              <w:rPr/>
            </w:pPr>
            <w:r>
              <w:rPr/>
              <w:t>working capital requirements;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both"/>
              <w:rPr/>
            </w:pPr>
            <w:r>
              <w:rPr/>
              <w:t>efforts to manage dilution while funding strategic initiatives.</w:t>
            </w:r>
          </w:p>
        </w:tc>
      </w:tr>
    </w:tbl>
    <w:p>
      <w:pPr>
        <w:pStyle w:val="TextBody"/>
        <w:bidi w:val="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Regulatory Environment and Compliance</w:t>
      </w:r>
      <w:r>
        <w:rPr>
          <w:rFonts w:ascii="Times New Roman;Times;Serif" w:hAnsi="Times New Roman;Times;Serif"/>
          <w:b w:val="false"/>
          <w:i w:val="false"/>
          <w:caps w:val="false"/>
          <w:smallCaps w:val="false"/>
          <w:sz w:val="20"/>
        </w:rPr>
        <w:t xml:space="preserve"> Our operations across media, gaming, and live experiences subject us to multiple regulatory regimes. Our results are influenced by:</w:t>
      </w:r>
    </w:p>
    <w:p>
      <w:pPr>
        <w:pStyle w:val="TextBody"/>
        <w:bidi w:val="0"/>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170"/>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283"/>
              <w:jc w:val="both"/>
              <w:rPr/>
            </w:pPr>
            <w:r>
              <w:rPr/>
              <w:t>compliance costs and reporting obligations as a Nasdaq-listed company;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283"/>
              <w:jc w:val="both"/>
              <w:rPr/>
            </w:pPr>
            <w:r>
              <w:rPr/>
              <w:t>licensing and regulatory requirements in gaming and international markets;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283"/>
              <w:jc w:val="both"/>
              <w:rPr/>
            </w:pPr>
            <w:r>
              <w:rPr/>
              <w:t>ongoing remediation and governance enhancements related to legacy matters.</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strengthened internal controls, governance frameworks, and financial reporting processes, and needed to restate prior period financials, which may continue to impact comparability.</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Reputational and Market Factors</w:t>
      </w:r>
      <w:r>
        <w:rPr>
          <w:rFonts w:ascii="Times New Roman;Times;Serif" w:hAnsi="Times New Roman;Times;Serif"/>
          <w:b w:val="false"/>
          <w:i w:val="false"/>
          <w:caps w:val="false"/>
          <w:smallCaps w:val="false"/>
          <w:sz w:val="20"/>
        </w:rPr>
        <w:t xml:space="preserve"> Our operating performance may be affected by investor confidence, analyst coverage, and broader market perception as we continue to execute our strategic transformation. We believe that improved governance, operational discipline, and a focus on revenue-generating activities position the Company for long-term growth; however, market perception may continue to evolve.</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Industry Trends and Convergence</w:t>
      </w:r>
      <w:r>
        <w:rPr>
          <w:rFonts w:ascii="Times New Roman;Times;Serif" w:hAnsi="Times New Roman;Times;Serif"/>
          <w:b w:val="false"/>
          <w:i w:val="false"/>
          <w:caps w:val="false"/>
          <w:smallCaps w:val="false"/>
          <w:sz w:val="20"/>
        </w:rPr>
        <w:t xml:space="preserve"> We operate in markets characterized by increasing convergence across sports, media, entertainment, and gaming. Our results are influenced by:</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shifts toward digital and interactive content consumption;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growth in esports and alternative sports formats;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integration of content, commerce, and community-driven platforms;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evolving monetization models, including advertising, sponsorship, and direct-to-consumer revenue streams.</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capitalize on these trends depends on execution, strategic partnerships, and continued innovation across our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Plan of Operations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 of operations is focused on disciplined execution and revenue generation as we position the Company for sustainable growth. Following a period of restructuring and remediation of legacy issues, management has adopted a strategy centered on (i) completing and integrating targeted acquisitions, (ii) scaling revenue-generating business lines, (iii) strengthening operational infrastructure and controls, and (iv) allocating capital to initiatives with clear, near-term economic return.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prioritizing the completion and integration of previously announced acquisitions. The Company has already completed the acquisition of Veloce Esports Limited and anticipates finalization of the acquisitions of Nook Holdings Limited once current regional conflicts in the Middle East are resolved. These transactions are intended to expand our footprint across sports, gaming, and entertainment while adding scalable, revenue-generating assets. Our focus is on achieving operational integration, realizing synergies, and leveraging shared technology, media distribution, and commercial partnerships across these platforms.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our Sports.com, Concerts.com, and related digital properties, we are building a unified media ecosystem designed to drive audience engagement and monetization. We intend to expand content distribution, increase direct-to-consumer engagement, and develop diversified revenue streams, including advertising, sponsorships, content licensing, and transactional platforms. The addition of Veloce’s digital media network is expected to significantly enhance our global reach and audience scale.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prioritizing initiatives that are either currently generating revenue or have a clear and near-term path to monetization. We have deprioritized or discontinued certain non-core or capital-intensive initiatives that do not meet our return thresholds. This disciplined approach is intended to improve operating efficiency and accelerate the path to profitability.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pursuing selective international expansion opportunities, beginning with targeted markets such as Mexico, where we believe there is strong demand for our sports, gaming, and entertainment offerings. Our strategy is to enter new markets through partnerships, acquisitions, or localized platforms that leverage our existing technology and media capabilities.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continuing to invest in strengthening our operational and financial infrastructure. This includes enhancing internal controls over financial reporting, improving financial close processes, and expanding our accounting and finance capabilities to support complex transactions and multi-entity operations. We are also implementing improved governance, oversight, and compliance frameworks to support our growth as a public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allocation strategy is focused on preserving liquidity while funding high-priority initiatives. We intend to utilize a combination of equity and debt financing, strategic partnerships, and structured transactions to fund our operations and acquisitions. We will continue to evaluate opportunities to strengthen our balance sheet and reduce dilution to existing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primary uses of capital over the next 12 months to include:</w:t>
      </w:r>
    </w:p>
    <w:p>
      <w:pPr>
        <w:pStyle w:val="TextBody"/>
        <w:bidi w:val="0"/>
        <w:spacing w:before="0" w:after="0"/>
        <w:ind w:left="0" w:right="0" w:firstLine="720"/>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17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Funding acquisition-related obligations and integration activities;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Supporting working capital needs and ongoing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Investing in technology development and platform enhancements;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Expanding sales, marketing, and commercial capabilities.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next 12 months, our operating plan is centered on transitioning from a restructuring phase to a growth phase driven by execution. Key milestones include completing pending acquisition tranches, integrating acquired businesses, scaling revenue across our core platforms, and improving overall financial performance.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We will require additional capital to meet our long-term operating requirements. We expect to raise additional capital through, among other things, the sale of equity or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 December 31, 2025 Compared to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years ended December 31, 2025 and December 31, 2024, respectively.</w:t>
      </w:r>
    </w:p>
    <w:p>
      <w:pPr>
        <w:pStyle w:val="TextBody"/>
        <w:bidi w:val="0"/>
        <w:spacing w:before="0" w:after="0"/>
        <w:ind w:left="0" w:right="0" w:hanging="0"/>
        <w:jc w:val="left"/>
        <w:rPr>
          <w:caps w:val="false"/>
          <w:smallCaps w:val="false"/>
        </w:rPr>
      </w:pPr>
      <w:r>
        <w:rPr>
          <w:caps w:val="false"/>
          <w:smallCaps w:val="false"/>
        </w:rPr>
        <w:t> </w:t>
      </w:r>
    </w:p>
    <w:tbl>
      <w:tblPr>
        <w:tblW w:w="9922" w:type="dxa"/>
        <w:jc w:val="left"/>
        <w:tblInd w:w="0" w:type="dxa"/>
        <w:tblLayout w:type="fixed"/>
        <w:tblCellMar>
          <w:top w:w="0" w:type="dxa"/>
          <w:left w:w="0" w:type="dxa"/>
          <w:bottom w:w="0" w:type="dxa"/>
          <w:right w:w="0" w:type="dxa"/>
        </w:tblCellMar>
      </w:tblPr>
      <w:tblGrid>
        <w:gridCol w:w="4565"/>
        <w:gridCol w:w="60"/>
        <w:gridCol w:w="149"/>
        <w:gridCol w:w="1209"/>
        <w:gridCol w:w="95"/>
        <w:gridCol w:w="71"/>
        <w:gridCol w:w="149"/>
        <w:gridCol w:w="1209"/>
        <w:gridCol w:w="80"/>
        <w:gridCol w:w="60"/>
        <w:gridCol w:w="125"/>
        <w:gridCol w:w="905"/>
        <w:gridCol w:w="80"/>
        <w:gridCol w:w="60"/>
        <w:gridCol w:w="99"/>
        <w:gridCol w:w="806"/>
        <w:gridCol w:w="200"/>
      </w:tblGrid>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Year Ended December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Change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Change</w:t>
            </w:r>
          </w:p>
        </w:tc>
        <w:tc>
          <w:tcPr>
            <w:tcW w:w="20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58"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sz w:val="20"/>
              </w:rPr>
            </w:pPr>
            <w:r>
              <w:rPr>
                <w:sz w:val="20"/>
              </w:rPr>
              <w:t>Revenue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20"/>
              </w:rPr>
            </w:pPr>
            <w:r>
              <w:rPr>
                <w:sz w:val="20"/>
              </w:rPr>
              <w:t>$</w:t>
            </w:r>
          </w:p>
        </w:tc>
        <w:tc>
          <w:tcPr>
            <w:tcW w:w="1209" w:type="dxa"/>
            <w:tcBorders/>
            <w:shd w:fill="CCEEFF" w:val="clear"/>
            <w:vAlign w:val="center"/>
          </w:tcPr>
          <w:p>
            <w:pPr>
              <w:pStyle w:val="TableContents"/>
              <w:bidi w:val="0"/>
              <w:spacing w:before="0" w:after="283"/>
              <w:jc w:val="right"/>
              <w:rPr>
                <w:sz w:val="20"/>
              </w:rPr>
            </w:pPr>
            <w:r>
              <w:rPr>
                <w:sz w:val="20"/>
              </w:rPr>
              <w:t>559,590</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20"/>
              </w:rPr>
            </w:pPr>
            <w:r>
              <w:rPr>
                <w:sz w:val="20"/>
              </w:rPr>
              <w:t>$</w:t>
            </w:r>
          </w:p>
        </w:tc>
        <w:tc>
          <w:tcPr>
            <w:tcW w:w="1209" w:type="dxa"/>
            <w:tcBorders/>
            <w:shd w:fill="CCEEFF" w:val="clear"/>
            <w:vAlign w:val="center"/>
          </w:tcPr>
          <w:p>
            <w:pPr>
              <w:pStyle w:val="TableContents"/>
              <w:bidi w:val="0"/>
              <w:spacing w:before="0" w:after="283"/>
              <w:jc w:val="right"/>
              <w:rPr>
                <w:sz w:val="20"/>
              </w:rPr>
            </w:pPr>
            <w:r>
              <w:rPr>
                <w:sz w:val="20"/>
              </w:rPr>
              <w:t>958,645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05" w:type="dxa"/>
            <w:tcBorders/>
            <w:shd w:fill="CCEEFF" w:val="clear"/>
            <w:vAlign w:val="center"/>
          </w:tcPr>
          <w:p>
            <w:pPr>
              <w:pStyle w:val="TableContents"/>
              <w:bidi w:val="0"/>
              <w:spacing w:before="0" w:after="283"/>
              <w:jc w:val="right"/>
              <w:rPr>
                <w:sz w:val="20"/>
              </w:rPr>
            </w:pPr>
            <w:r>
              <w:rPr>
                <w:sz w:val="20"/>
              </w:rPr>
              <w:t>(399,055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sz w:val="20"/>
              </w:rPr>
            </w:pPr>
            <w:r>
              <w:rPr>
                <w:sz w:val="20"/>
              </w:rPr>
              <w:t>-42</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565" w:type="dxa"/>
            <w:tcBorders/>
            <w:shd w:fill="FFFFFF" w:val="clear"/>
            <w:vAlign w:val="center"/>
          </w:tcPr>
          <w:p>
            <w:pPr>
              <w:pStyle w:val="TableContents"/>
              <w:bidi w:val="0"/>
              <w:spacing w:before="0" w:after="283"/>
              <w:jc w:val="left"/>
              <w:rPr>
                <w:sz w:val="20"/>
              </w:rPr>
            </w:pPr>
            <w:r>
              <w:rPr>
                <w:sz w:val="20"/>
              </w:rPr>
              <w:t>Cost of revenue</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774,823</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320,869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453,954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141</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4565" w:type="dxa"/>
            <w:tcBorders/>
            <w:shd w:fill="CCEEFF" w:val="clear"/>
            <w:vAlign w:val="center"/>
          </w:tcPr>
          <w:p>
            <w:pPr>
              <w:pStyle w:val="TableContents"/>
              <w:bidi w:val="0"/>
              <w:spacing w:before="0" w:after="283"/>
              <w:jc w:val="left"/>
              <w:rPr>
                <w:sz w:val="20"/>
              </w:rPr>
            </w:pPr>
            <w:r>
              <w:rPr>
                <w:sz w:val="20"/>
              </w:rPr>
              <w:t>Gross profit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20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(215,233</w:t>
            </w:r>
          </w:p>
        </w:tc>
        <w:tc>
          <w:tcPr>
            <w:tcW w:w="95" w:type="dxa"/>
            <w:tcBorders/>
            <w:shd w:fill="CCEEFF" w:val="clear"/>
            <w:vAlign w:val="center"/>
          </w:tcPr>
          <w:p>
            <w:pPr>
              <w:pStyle w:val="TableContents"/>
              <w:bidi w:val="0"/>
              <w:spacing w:before="0" w:after="283"/>
              <w:jc w:val="left"/>
              <w:rPr>
                <w:sz w:val="20"/>
              </w:rPr>
            </w:pPr>
            <w:r>
              <w:rPr>
                <w:sz w:val="20"/>
              </w:rPr>
              <w:t>)</w:t>
            </w:r>
          </w:p>
        </w:tc>
        <w:tc>
          <w:tcPr>
            <w:tcW w:w="71"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20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637,776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(853,009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-134</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sz w:val="20"/>
              </w:rPr>
            </w:pPr>
            <w:r>
              <w:rPr>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sz w:val="20"/>
              </w:rPr>
            </w:pPr>
            <w:r>
              <w:rPr>
                <w:sz w:val="20"/>
              </w:rPr>
              <w:t>Personnel costs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sz w:val="20"/>
              </w:rPr>
            </w:pPr>
            <w:r>
              <w:rPr>
                <w:sz w:val="20"/>
              </w:rPr>
              <w:t>$</w:t>
            </w:r>
          </w:p>
        </w:tc>
        <w:tc>
          <w:tcPr>
            <w:tcW w:w="1209" w:type="dxa"/>
            <w:tcBorders/>
            <w:shd w:fill="FFFFFF" w:val="clear"/>
            <w:vAlign w:val="center"/>
          </w:tcPr>
          <w:p>
            <w:pPr>
              <w:pStyle w:val="TableContents"/>
              <w:bidi w:val="0"/>
              <w:spacing w:before="0" w:after="283"/>
              <w:jc w:val="right"/>
              <w:rPr>
                <w:sz w:val="20"/>
              </w:rPr>
            </w:pPr>
            <w:r>
              <w:rPr>
                <w:sz w:val="20"/>
              </w:rPr>
              <w:t>2,469,812</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sz w:val="20"/>
              </w:rPr>
            </w:pPr>
            <w:r>
              <w:rPr>
                <w:sz w:val="20"/>
              </w:rPr>
              <w:t>$</w:t>
            </w:r>
          </w:p>
        </w:tc>
        <w:tc>
          <w:tcPr>
            <w:tcW w:w="1209" w:type="dxa"/>
            <w:tcBorders/>
            <w:shd w:fill="FFFFFF" w:val="clear"/>
            <w:vAlign w:val="center"/>
          </w:tcPr>
          <w:p>
            <w:pPr>
              <w:pStyle w:val="TableContents"/>
              <w:bidi w:val="0"/>
              <w:spacing w:before="0" w:after="283"/>
              <w:jc w:val="right"/>
              <w:rPr>
                <w:sz w:val="20"/>
              </w:rPr>
            </w:pPr>
            <w:r>
              <w:rPr>
                <w:sz w:val="20"/>
              </w:rPr>
              <w:t>4,761,186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905" w:type="dxa"/>
            <w:tcBorders/>
            <w:shd w:fill="FFFFFF" w:val="clear"/>
            <w:vAlign w:val="center"/>
          </w:tcPr>
          <w:p>
            <w:pPr>
              <w:pStyle w:val="TableContents"/>
              <w:bidi w:val="0"/>
              <w:spacing w:before="0" w:after="283"/>
              <w:jc w:val="right"/>
              <w:rPr>
                <w:sz w:val="20"/>
              </w:rPr>
            </w:pPr>
            <w:r>
              <w:rPr>
                <w:sz w:val="20"/>
              </w:rPr>
              <w:t>(2,291,374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sz w:val="20"/>
              </w:rPr>
            </w:pPr>
            <w:r>
              <w:rPr>
                <w:sz w:val="20"/>
              </w:rPr>
              <w:t>-48</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4565" w:type="dxa"/>
            <w:tcBorders/>
            <w:shd w:fill="CCEEFF" w:val="clear"/>
            <w:vAlign w:val="center"/>
          </w:tcPr>
          <w:p>
            <w:pPr>
              <w:pStyle w:val="TableContents"/>
              <w:bidi w:val="0"/>
              <w:spacing w:before="0" w:after="283"/>
              <w:jc w:val="left"/>
              <w:rPr>
                <w:sz w:val="20"/>
              </w:rPr>
            </w:pPr>
            <w:r>
              <w:rPr>
                <w:sz w:val="20"/>
              </w:rPr>
              <w:t>Professional fees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sz w:val="20"/>
              </w:rPr>
            </w:pPr>
            <w:r>
              <w:rPr>
                <w:sz w:val="20"/>
              </w:rPr>
              <w:t>6,637,644</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sz w:val="20"/>
              </w:rPr>
            </w:pPr>
            <w:r>
              <w:rPr>
                <w:sz w:val="20"/>
              </w:rPr>
              <w:t>5,436,831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1,200,813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sz w:val="20"/>
              </w:rPr>
            </w:pPr>
            <w:r>
              <w:rPr>
                <w:sz w:val="20"/>
              </w:rPr>
              <w:t>22</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565" w:type="dxa"/>
            <w:tcBorders/>
            <w:shd w:fill="FFFFFF" w:val="clear"/>
            <w:vAlign w:val="center"/>
          </w:tcPr>
          <w:p>
            <w:pPr>
              <w:pStyle w:val="TableContents"/>
              <w:bidi w:val="0"/>
              <w:spacing w:before="0" w:after="283"/>
              <w:jc w:val="left"/>
              <w:rPr>
                <w:sz w:val="20"/>
              </w:rPr>
            </w:pPr>
            <w:r>
              <w:rPr>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sz w:val="20"/>
              </w:rPr>
            </w:pPr>
            <w:r>
              <w:rPr>
                <w:sz w:val="20"/>
              </w:rPr>
              <w:t>4,306,273</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sz w:val="20"/>
              </w:rPr>
            </w:pPr>
            <w:r>
              <w:rPr>
                <w:sz w:val="20"/>
              </w:rPr>
              <w:t>3,688,547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617,726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sz w:val="20"/>
              </w:rPr>
            </w:pPr>
            <w:r>
              <w:rPr>
                <w:sz w:val="20"/>
              </w:rPr>
              <w:t>17</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4565"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4,238,921</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5,020,647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(781,726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565" w:type="dxa"/>
            <w:tcBorders/>
            <w:shd w:fill="FFFFFF" w:val="clear"/>
            <w:vAlign w:val="center"/>
          </w:tcPr>
          <w:p>
            <w:pPr>
              <w:pStyle w:val="TableContents"/>
              <w:bidi w:val="0"/>
              <w:spacing w:before="0" w:after="283"/>
              <w:jc w:val="left"/>
              <w:rPr>
                <w:sz w:val="20"/>
              </w:rPr>
            </w:pPr>
            <w:r>
              <w:rPr>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17,652,650</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18,907,211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(1,254,561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4565" w:type="dxa"/>
            <w:tcBorders/>
            <w:shd w:fill="CCEEFF" w:val="clear"/>
            <w:vAlign w:val="center"/>
          </w:tcPr>
          <w:p>
            <w:pPr>
              <w:pStyle w:val="TableContents"/>
              <w:bidi w:val="0"/>
              <w:spacing w:before="0" w:after="283"/>
              <w:jc w:val="left"/>
              <w:rPr>
                <w:sz w:val="20"/>
              </w:rPr>
            </w:pPr>
            <w:r>
              <w:rPr>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20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(17,867,883</w:t>
            </w:r>
          </w:p>
        </w:tc>
        <w:tc>
          <w:tcPr>
            <w:tcW w:w="95" w:type="dxa"/>
            <w:tcBorders/>
            <w:shd w:fill="CCEEFF" w:val="clear"/>
            <w:vAlign w:val="center"/>
          </w:tcPr>
          <w:p>
            <w:pPr>
              <w:pStyle w:val="TableContents"/>
              <w:bidi w:val="0"/>
              <w:spacing w:before="0" w:after="283"/>
              <w:jc w:val="left"/>
              <w:rPr>
                <w:sz w:val="20"/>
              </w:rPr>
            </w:pPr>
            <w:r>
              <w:rPr>
                <w:sz w:val="20"/>
              </w:rPr>
              <w:t>)</w:t>
            </w:r>
          </w:p>
        </w:tc>
        <w:tc>
          <w:tcPr>
            <w:tcW w:w="71"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20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(18,269,435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401,552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sz w:val="20"/>
              </w:rPr>
            </w:pPr>
            <w:r>
              <w:rPr>
                <w:sz w:val="20"/>
              </w:rPr>
              <w:t>Other expenses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sz w:val="20"/>
              </w:rPr>
            </w:pPr>
            <w:r>
              <w:rPr>
                <w:sz w:val="20"/>
              </w:rPr>
              <w:t>Interest expense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sz w:val="20"/>
              </w:rPr>
            </w:pPr>
            <w:r>
              <w:rPr>
                <w:sz w:val="20"/>
              </w:rPr>
              <w:t>$</w:t>
            </w:r>
          </w:p>
        </w:tc>
        <w:tc>
          <w:tcPr>
            <w:tcW w:w="1209" w:type="dxa"/>
            <w:tcBorders/>
            <w:shd w:fill="FFFFFF" w:val="clear"/>
            <w:vAlign w:val="center"/>
          </w:tcPr>
          <w:p>
            <w:pPr>
              <w:pStyle w:val="TableContents"/>
              <w:bidi w:val="0"/>
              <w:spacing w:before="0" w:after="283"/>
              <w:jc w:val="right"/>
              <w:rPr>
                <w:sz w:val="20"/>
              </w:rPr>
            </w:pPr>
            <w:r>
              <w:rPr>
                <w:sz w:val="20"/>
              </w:rPr>
              <w:t>217,905</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sz w:val="20"/>
              </w:rPr>
            </w:pPr>
            <w:r>
              <w:rPr>
                <w:sz w:val="20"/>
              </w:rPr>
              <w:t>$</w:t>
            </w:r>
          </w:p>
        </w:tc>
        <w:tc>
          <w:tcPr>
            <w:tcW w:w="1209" w:type="dxa"/>
            <w:tcBorders/>
            <w:shd w:fill="FFFFFF" w:val="clear"/>
            <w:vAlign w:val="center"/>
          </w:tcPr>
          <w:p>
            <w:pPr>
              <w:pStyle w:val="TableContents"/>
              <w:bidi w:val="0"/>
              <w:spacing w:before="0" w:after="283"/>
              <w:jc w:val="right"/>
              <w:rPr>
                <w:sz w:val="20"/>
              </w:rPr>
            </w:pPr>
            <w:r>
              <w:rPr>
                <w:sz w:val="20"/>
              </w:rPr>
              <w:t>508,563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905" w:type="dxa"/>
            <w:tcBorders/>
            <w:shd w:fill="FFFFFF" w:val="clear"/>
            <w:vAlign w:val="center"/>
          </w:tcPr>
          <w:p>
            <w:pPr>
              <w:pStyle w:val="TableContents"/>
              <w:bidi w:val="0"/>
              <w:spacing w:before="0" w:after="283"/>
              <w:jc w:val="right"/>
              <w:rPr>
                <w:sz w:val="20"/>
              </w:rPr>
            </w:pPr>
            <w:r>
              <w:rPr>
                <w:sz w:val="20"/>
              </w:rPr>
              <w:t>(290,658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sz w:val="20"/>
              </w:rPr>
            </w:pPr>
            <w:r>
              <w:rPr>
                <w:sz w:val="20"/>
              </w:rPr>
              <w:t>-57</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4565" w:type="dxa"/>
            <w:tcBorders/>
            <w:shd w:fill="CCEEFF" w:val="clear"/>
            <w:vAlign w:val="center"/>
          </w:tcPr>
          <w:p>
            <w:pPr>
              <w:pStyle w:val="TableContents"/>
              <w:bidi w:val="0"/>
              <w:spacing w:before="0" w:after="283"/>
              <w:jc w:val="left"/>
              <w:rPr>
                <w:sz w:val="20"/>
              </w:rPr>
            </w:pPr>
            <w:r>
              <w:rPr>
                <w:sz w:val="20"/>
              </w:rPr>
              <w:t>Other expenses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sz w:val="20"/>
              </w:rPr>
            </w:pPr>
            <w:r>
              <w:rPr>
                <w:sz w:val="20"/>
              </w:rPr>
              <w:t>1,248,967</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sz w:val="20"/>
              </w:rPr>
            </w:pPr>
            <w:r>
              <w:rPr>
                <w:sz w:val="20"/>
              </w:rPr>
              <w:t>968,903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280,064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sz w:val="20"/>
              </w:rPr>
            </w:pPr>
            <w:r>
              <w:rPr>
                <w:sz w:val="20"/>
              </w:rPr>
              <w:t>29</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565" w:type="dxa"/>
            <w:tcBorders/>
            <w:shd w:fill="FFFFFF" w:val="clear"/>
            <w:vAlign w:val="center"/>
          </w:tcPr>
          <w:p>
            <w:pPr>
              <w:pStyle w:val="TableContents"/>
              <w:bidi w:val="0"/>
              <w:spacing w:before="0" w:after="283"/>
              <w:jc w:val="left"/>
              <w:rPr>
                <w:sz w:val="20"/>
              </w:rPr>
            </w:pPr>
            <w:r>
              <w:rPr>
                <w:sz w:val="20"/>
              </w:rPr>
              <w:t>Other Income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sz w:val="20"/>
              </w:rPr>
            </w:pPr>
            <w:r>
              <w:rPr>
                <w:sz w:val="20"/>
              </w:rPr>
              <w:t>(4,234,581</w:t>
            </w:r>
          </w:p>
        </w:tc>
        <w:tc>
          <w:tcPr>
            <w:tcW w:w="95" w:type="dxa"/>
            <w:tcBorders/>
            <w:shd w:fill="FFFFFF" w:val="clear"/>
            <w:vAlign w:val="center"/>
          </w:tcPr>
          <w:p>
            <w:pPr>
              <w:pStyle w:val="TableContents"/>
              <w:bidi w:val="0"/>
              <w:spacing w:before="0" w:after="283"/>
              <w:jc w:val="left"/>
              <w:rPr>
                <w:sz w:val="20"/>
              </w:rPr>
            </w:pPr>
            <w:r>
              <w:rPr>
                <w:sz w:val="20"/>
              </w:rPr>
              <w:t>)</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sz w:val="20"/>
              </w:rPr>
            </w:pPr>
            <w:r>
              <w:rPr>
                <w:sz w:val="20"/>
              </w:rPr>
              <w:t>(107,143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4,127,438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sz w:val="20"/>
              </w:rPr>
            </w:pPr>
            <w:r>
              <w:rPr>
                <w:sz w:val="20"/>
              </w:rPr>
              <w:t>3,852</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4565" w:type="dxa"/>
            <w:tcBorders/>
            <w:shd w:fill="CCEEFF" w:val="clear"/>
            <w:vAlign w:val="center"/>
          </w:tcPr>
          <w:p>
            <w:pPr>
              <w:pStyle w:val="TableContents"/>
              <w:bidi w:val="0"/>
              <w:spacing w:before="0" w:after="283"/>
              <w:jc w:val="left"/>
              <w:rPr>
                <w:sz w:val="20"/>
              </w:rPr>
            </w:pPr>
            <w:r>
              <w:rPr>
                <w:sz w:val="20"/>
              </w:rPr>
              <w:t>Reserve for loss of prepaid advertising credits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sz w:val="20"/>
              </w:rPr>
            </w:pPr>
            <w:r>
              <w:rPr>
                <w:sz w:val="20"/>
              </w:rPr>
              <w:t>5,688,078</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sz w:val="20"/>
              </w:rPr>
            </w:pPr>
            <w:r>
              <w:rPr>
                <w:sz w:val="20"/>
              </w:rPr>
              <w:t>4,745,000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943,078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sz w:val="20"/>
              </w:rPr>
            </w:pPr>
            <w:r>
              <w:rPr>
                <w:sz w:val="20"/>
              </w:rPr>
              <w:t>20</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565" w:type="dxa"/>
            <w:tcBorders/>
            <w:shd w:fill="FFFFFF" w:val="clear"/>
            <w:vAlign w:val="center"/>
          </w:tcPr>
          <w:p>
            <w:pPr>
              <w:pStyle w:val="TableContents"/>
              <w:bidi w:val="0"/>
              <w:spacing w:before="0" w:after="283"/>
              <w:jc w:val="left"/>
              <w:rPr>
                <w:sz w:val="20"/>
              </w:rPr>
            </w:pPr>
            <w:r>
              <w:rPr>
                <w:sz w:val="20"/>
              </w:rPr>
              <w:t>Loss on impairment of intangibles &amp; goodwill</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4,298,002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(4,298,002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-100</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4565" w:type="dxa"/>
            <w:tcBorders/>
            <w:shd w:fill="CCEEFF" w:val="clear"/>
            <w:vAlign w:val="center"/>
          </w:tcPr>
          <w:p>
            <w:pPr>
              <w:pStyle w:val="TableContents"/>
              <w:bidi w:val="0"/>
              <w:spacing w:before="0" w:after="283"/>
              <w:jc w:val="left"/>
              <w:rPr>
                <w:sz w:val="20"/>
              </w:rPr>
            </w:pPr>
            <w:r>
              <w:rPr>
                <w:sz w:val="20"/>
              </w:rPr>
              <w:t>Total other expenses, net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2,920,369</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10,413,325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(7,492,956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-72</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sz w:val="20"/>
              </w:rPr>
            </w:pPr>
            <w:r>
              <w:rPr>
                <w:sz w:val="20"/>
              </w:rPr>
              <w:t>Net loss before income tax</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20"/>
              </w:rPr>
            </w:pPr>
            <w:r>
              <w:rPr>
                <w:sz w:val="20"/>
              </w:rPr>
              <w:t>$</w:t>
            </w:r>
          </w:p>
        </w:tc>
        <w:tc>
          <w:tcPr>
            <w:tcW w:w="1209" w:type="dxa"/>
            <w:tcBorders/>
            <w:shd w:fill="CCEEFF" w:val="clear"/>
            <w:vAlign w:val="center"/>
          </w:tcPr>
          <w:p>
            <w:pPr>
              <w:pStyle w:val="TableContents"/>
              <w:bidi w:val="0"/>
              <w:spacing w:before="0" w:after="283"/>
              <w:jc w:val="right"/>
              <w:rPr>
                <w:sz w:val="20"/>
              </w:rPr>
            </w:pPr>
            <w:r>
              <w:rPr>
                <w:sz w:val="20"/>
              </w:rPr>
              <w:t>(20,788,252</w:t>
            </w:r>
          </w:p>
        </w:tc>
        <w:tc>
          <w:tcPr>
            <w:tcW w:w="95" w:type="dxa"/>
            <w:tcBorders/>
            <w:shd w:fill="CCEEFF" w:val="clear"/>
            <w:vAlign w:val="center"/>
          </w:tcPr>
          <w:p>
            <w:pPr>
              <w:pStyle w:val="TableContents"/>
              <w:bidi w:val="0"/>
              <w:spacing w:before="0" w:after="283"/>
              <w:jc w:val="left"/>
              <w:rPr>
                <w:sz w:val="20"/>
              </w:rPr>
            </w:pPr>
            <w:r>
              <w:rPr>
                <w:sz w:val="20"/>
              </w:rPr>
              <w:t>)</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20"/>
              </w:rPr>
            </w:pPr>
            <w:r>
              <w:rPr>
                <w:sz w:val="20"/>
              </w:rPr>
              <w:t>$</w:t>
            </w:r>
          </w:p>
        </w:tc>
        <w:tc>
          <w:tcPr>
            <w:tcW w:w="1209" w:type="dxa"/>
            <w:tcBorders/>
            <w:shd w:fill="CCEEFF" w:val="clear"/>
            <w:vAlign w:val="center"/>
          </w:tcPr>
          <w:p>
            <w:pPr>
              <w:pStyle w:val="TableContents"/>
              <w:bidi w:val="0"/>
              <w:spacing w:before="0" w:after="283"/>
              <w:jc w:val="right"/>
              <w:rPr>
                <w:sz w:val="20"/>
              </w:rPr>
            </w:pPr>
            <w:r>
              <w:rPr>
                <w:sz w:val="20"/>
              </w:rPr>
              <w:t>(28,682,760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7,894,508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sz w:val="20"/>
              </w:rPr>
            </w:pPr>
            <w:r>
              <w:rPr>
                <w:sz w:val="20"/>
              </w:rPr>
              <w:t>-28</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565" w:type="dxa"/>
            <w:tcBorders/>
            <w:shd w:fill="FFFFFF" w:val="clear"/>
            <w:vAlign w:val="center"/>
          </w:tcPr>
          <w:p>
            <w:pPr>
              <w:pStyle w:val="TableContents"/>
              <w:bidi w:val="0"/>
              <w:spacing w:before="0" w:after="283"/>
              <w:jc w:val="left"/>
              <w:rPr>
                <w:sz w:val="20"/>
              </w:rPr>
            </w:pPr>
            <w:r>
              <w:rPr>
                <w:sz w:val="20"/>
              </w:rPr>
              <w:t>Income tax expense (benefit)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16,815</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26,315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(9,500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4565" w:type="dxa"/>
            <w:tcBorders/>
            <w:shd w:fill="CCEEFF" w:val="clear"/>
            <w:vAlign w:val="center"/>
          </w:tcPr>
          <w:p>
            <w:pPr>
              <w:pStyle w:val="TableContents"/>
              <w:bidi w:val="0"/>
              <w:spacing w:before="0" w:after="283"/>
              <w:jc w:val="left"/>
              <w:rPr>
                <w:sz w:val="20"/>
              </w:rPr>
            </w:pPr>
            <w:r>
              <w:rPr>
                <w:sz w:val="20"/>
              </w:rPr>
              <w:t>Net loss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20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(20,805,067</w:t>
            </w:r>
          </w:p>
        </w:tc>
        <w:tc>
          <w:tcPr>
            <w:tcW w:w="95" w:type="dxa"/>
            <w:tcBorders/>
            <w:shd w:fill="CCEEFF" w:val="clear"/>
            <w:vAlign w:val="center"/>
          </w:tcPr>
          <w:p>
            <w:pPr>
              <w:pStyle w:val="TableContents"/>
              <w:bidi w:val="0"/>
              <w:spacing w:before="0" w:after="283"/>
              <w:jc w:val="left"/>
              <w:rPr>
                <w:sz w:val="20"/>
              </w:rPr>
            </w:pPr>
            <w:r>
              <w:rPr>
                <w:sz w:val="20"/>
              </w:rPr>
              <w:t>)</w:t>
            </w:r>
          </w:p>
        </w:tc>
        <w:tc>
          <w:tcPr>
            <w:tcW w:w="71"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20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(28,709,075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7,904,008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-28</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sz w:val="20"/>
              </w:rPr>
            </w:pPr>
            <w:r>
              <w:rPr>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sz w:val="20"/>
              </w:rPr>
            </w:pPr>
            <w:r>
              <w:rPr>
                <w:sz w:val="20"/>
              </w:rPr>
              <w:t>Foreign currency translation adjustment, net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280,490</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317,424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(36,934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4565" w:type="dxa"/>
            <w:tcBorders/>
            <w:shd w:fill="CCEEFF" w:val="clear"/>
            <w:vAlign w:val="center"/>
          </w:tcPr>
          <w:p>
            <w:pPr>
              <w:pStyle w:val="TableContents"/>
              <w:bidi w:val="0"/>
              <w:spacing w:before="0" w:after="283"/>
              <w:jc w:val="left"/>
              <w:rPr>
                <w:sz w:val="20"/>
              </w:rPr>
            </w:pPr>
            <w:r>
              <w:rPr>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20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(20,524,577</w:t>
            </w:r>
          </w:p>
        </w:tc>
        <w:tc>
          <w:tcPr>
            <w:tcW w:w="95" w:type="dxa"/>
            <w:tcBorders/>
            <w:shd w:fill="CCEEFF" w:val="clear"/>
            <w:vAlign w:val="center"/>
          </w:tcPr>
          <w:p>
            <w:pPr>
              <w:pStyle w:val="TableContents"/>
              <w:bidi w:val="0"/>
              <w:spacing w:before="0" w:after="283"/>
              <w:jc w:val="left"/>
              <w:rPr>
                <w:sz w:val="20"/>
              </w:rPr>
            </w:pPr>
            <w:r>
              <w:rPr>
                <w:sz w:val="20"/>
              </w:rPr>
              <w:t>)</w:t>
            </w:r>
          </w:p>
        </w:tc>
        <w:tc>
          <w:tcPr>
            <w:tcW w:w="71"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20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(28,391,651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7,867,074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-28</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sz w:val="20"/>
              </w:rPr>
            </w:pPr>
            <w:r>
              <w:rPr>
                <w:sz w:val="20"/>
              </w:rPr>
              <w:t>Net income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20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(220,969</w:t>
            </w:r>
          </w:p>
        </w:tc>
        <w:tc>
          <w:tcPr>
            <w:tcW w:w="95" w:type="dxa"/>
            <w:tcBorders/>
            <w:shd w:fill="CCEEFF" w:val="clear"/>
            <w:vAlign w:val="center"/>
          </w:tcPr>
          <w:p>
            <w:pPr>
              <w:pStyle w:val="TableContents"/>
              <w:bidi w:val="0"/>
              <w:spacing w:before="0" w:after="283"/>
              <w:jc w:val="left"/>
              <w:rPr>
                <w:sz w:val="20"/>
              </w:rPr>
            </w:pPr>
            <w:r>
              <w:rPr>
                <w:sz w:val="20"/>
              </w:rPr>
              <w:t>)</w:t>
            </w:r>
          </w:p>
        </w:tc>
        <w:tc>
          <w:tcPr>
            <w:tcW w:w="71"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20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(170,046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(50,923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30</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565" w:type="dxa"/>
            <w:tcBorders/>
            <w:shd w:fill="FFFFFF" w:val="clear"/>
            <w:vAlign w:val="center"/>
          </w:tcPr>
          <w:p>
            <w:pPr>
              <w:pStyle w:val="TableContents"/>
              <w:bidi w:val="0"/>
              <w:spacing w:before="0" w:after="283"/>
              <w:jc w:val="left"/>
              <w:rPr>
                <w:sz w:val="20"/>
              </w:rPr>
            </w:pPr>
            <w:r>
              <w:rPr>
                <w:sz w:val="20"/>
              </w:rPr>
              <w:t>Net loss attributable to Lottery.com, Inc.</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20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(20,303,608</w:t>
            </w:r>
          </w:p>
        </w:tc>
        <w:tc>
          <w:tcPr>
            <w:tcW w:w="95" w:type="dxa"/>
            <w:tcBorders/>
            <w:shd w:fill="FFFFFF" w:val="clear"/>
            <w:vAlign w:val="center"/>
          </w:tcPr>
          <w:p>
            <w:pPr>
              <w:pStyle w:val="TableContents"/>
              <w:bidi w:val="0"/>
              <w:spacing w:before="0" w:after="283"/>
              <w:jc w:val="left"/>
              <w:rPr>
                <w:sz w:val="20"/>
              </w:rPr>
            </w:pPr>
            <w:r>
              <w:rPr>
                <w:sz w:val="20"/>
              </w:rPr>
              <w:t>)</w:t>
            </w:r>
          </w:p>
        </w:tc>
        <w:tc>
          <w:tcPr>
            <w:tcW w:w="71"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20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(28,221,605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7,917,997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-28</w:t>
            </w:r>
          </w:p>
        </w:tc>
        <w:tc>
          <w:tcPr>
            <w:tcW w:w="200"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Revenue. </w:t>
      </w:r>
      <w:r>
        <w:rPr>
          <w:rFonts w:ascii="Times New Roman;Times;Serif" w:hAnsi="Times New Roman;Times;Serif"/>
          <w:b w:val="false"/>
          <w:i w:val="false"/>
          <w:caps w:val="false"/>
          <w:smallCaps w:val="false"/>
          <w:sz w:val="20"/>
        </w:rPr>
        <w:t>Revenue for the year ended December 31, 2025 was $560,000, a decrease of $399,000, or (42)%, compared to revenue of $959,000 thousand for the year ended December 31, 2024. The decrease is the result of decreases both in Tinbu ($287,000) and Global Gaming ($175,000) partially offset by an increase of $63,000 for Sports.com Media which is included for twelve months in 2025 but only four months 4 in 2024 because it was acquired on September 1, 2024.</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Cost of Revenue</w:t>
      </w:r>
      <w:r>
        <w:rPr>
          <w:rFonts w:ascii="Times New Roman;Times;Serif" w:hAnsi="Times New Roman;Times;Serif"/>
          <w:b w:val="false"/>
          <w:i w:val="false"/>
          <w:caps w:val="false"/>
          <w:smallCaps w:val="false"/>
          <w:sz w:val="20"/>
        </w:rPr>
        <w:t>. Cost of revenue includes product costs, commission expense to affiliates and commercial partners, and merchant processing fees. Cost of revenue for the year ended December 31, 2025 was $775,000 thousand, an increase of $454,000 thousand, or 141%, compared to cost of revenue of $321,000 thousand for the year ended December 31, 2024. The increase in COGS was due to a $315,000 thousand increase at Sports.com Media and a $127,000 increase at AutoLotto.</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Profit (Loss)</w:t>
      </w:r>
      <w:r>
        <w:rPr>
          <w:rFonts w:ascii="Times New Roman;Times;Serif" w:hAnsi="Times New Roman;Times;Serif"/>
          <w:b w:val="false"/>
          <w:i w:val="false"/>
          <w:caps w:val="false"/>
          <w:smallCaps w:val="false"/>
          <w:sz w:val="20"/>
        </w:rPr>
        <w:t>. Gross loss for the year ended December 31, 2025 was ($215,000), compared to a gross profit of $638,000 for the year ended December 31, 2024, a decrease of $853,000, or (134%). Decreases in revenue for Tinbu, and Global Gaming and increases in COGS in AutoLotto and Sports.com which is an early stage growth business combine to result in a decrease to gross profit of $831,000.</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Operating Costs and Expenses</w:t>
      </w:r>
    </w:p>
    <w:p>
      <w:pPr>
        <w:pStyle w:val="TextBody"/>
        <w:bidi w:val="0"/>
        <w:spacing w:before="0" w:after="0"/>
        <w:ind w:left="0" w:right="0" w:hanging="0"/>
        <w:jc w:val="left"/>
        <w:rPr>
          <w:caps w:val="false"/>
          <w:smallCaps w:val="false"/>
        </w:rPr>
      </w:pPr>
      <w:r>
        <w:rPr>
          <w:caps w:val="false"/>
          <w:smallCaps w:val="false"/>
        </w:rPr>
        <w:t> </w:t>
      </w:r>
    </w:p>
    <w:tbl>
      <w:tblPr>
        <w:tblW w:w="7040" w:type="dxa"/>
        <w:jc w:val="left"/>
        <w:tblInd w:w="0" w:type="dxa"/>
        <w:tblLayout w:type="fixed"/>
        <w:tblCellMar>
          <w:top w:w="0" w:type="dxa"/>
          <w:left w:w="0" w:type="dxa"/>
          <w:bottom w:w="0" w:type="dxa"/>
          <w:right w:w="0" w:type="dxa"/>
        </w:tblCellMar>
      </w:tblPr>
      <w:tblGrid>
        <w:gridCol w:w="2510"/>
        <w:gridCol w:w="60"/>
        <w:gridCol w:w="60"/>
        <w:gridCol w:w="950"/>
        <w:gridCol w:w="60"/>
        <w:gridCol w:w="60"/>
        <w:gridCol w:w="60"/>
        <w:gridCol w:w="950"/>
        <w:gridCol w:w="60"/>
        <w:gridCol w:w="60"/>
        <w:gridCol w:w="60"/>
        <w:gridCol w:w="905"/>
        <w:gridCol w:w="80"/>
        <w:gridCol w:w="60"/>
        <w:gridCol w:w="155"/>
        <w:gridCol w:w="750"/>
        <w:gridCol w:w="200"/>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70"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Year Ended December 31,</w:t>
            </w:r>
          </w:p>
        </w:tc>
        <w:tc>
          <w:tcPr>
            <w:tcW w:w="20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Change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Change</w:t>
            </w:r>
          </w:p>
        </w:tc>
        <w:tc>
          <w:tcPr>
            <w:tcW w:w="20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sz w:val="20"/>
              </w:rPr>
            </w:pPr>
            <w:r>
              <w:rPr>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sz w:val="20"/>
              </w:rPr>
            </w:pPr>
            <w:r>
              <w:rPr>
                <w:sz w:val="20"/>
              </w:rPr>
              <w:t>Personnel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2,469,812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4,761,186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(2,291,374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sz w:val="20"/>
              </w:rPr>
            </w:pPr>
            <w:r>
              <w:rPr>
                <w:sz w:val="20"/>
              </w:rPr>
              <w:t>-48</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510" w:type="dxa"/>
            <w:tcBorders/>
            <w:shd w:fill="CCEEFF" w:val="clear"/>
            <w:vAlign w:val="center"/>
          </w:tcPr>
          <w:p>
            <w:pPr>
              <w:pStyle w:val="TableContents"/>
              <w:bidi w:val="0"/>
              <w:spacing w:before="0" w:after="283"/>
              <w:jc w:val="left"/>
              <w:rPr>
                <w:sz w:val="20"/>
              </w:rPr>
            </w:pPr>
            <w:r>
              <w:rPr>
                <w:sz w:val="20"/>
              </w:rPr>
              <w:t>Professional fees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6,637,644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5,436,831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sz w:val="20"/>
              </w:rPr>
            </w:pPr>
            <w:r>
              <w:rPr>
                <w:sz w:val="20"/>
              </w:rPr>
              <w:t>1,200,813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sz w:val="20"/>
              </w:rPr>
            </w:pPr>
            <w:r>
              <w:rPr>
                <w:sz w:val="20"/>
              </w:rPr>
              <w:t>22</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510" w:type="dxa"/>
            <w:tcBorders/>
            <w:shd w:fill="FFFFFF" w:val="clear"/>
            <w:vAlign w:val="center"/>
          </w:tcPr>
          <w:p>
            <w:pPr>
              <w:pStyle w:val="TableContents"/>
              <w:bidi w:val="0"/>
              <w:spacing w:before="0" w:after="283"/>
              <w:jc w:val="left"/>
              <w:rPr>
                <w:sz w:val="20"/>
              </w:rPr>
            </w:pPr>
            <w:r>
              <w:rPr>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4,306,273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3,688,547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617,726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sz w:val="20"/>
              </w:rPr>
            </w:pPr>
            <w:r>
              <w:rPr>
                <w:sz w:val="20"/>
              </w:rPr>
              <w:t>17</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510"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4,238,921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5,020,647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(781,692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510" w:type="dxa"/>
            <w:tcBorders/>
            <w:shd w:fill="FFFFFF" w:val="clear"/>
            <w:vAlign w:val="center"/>
          </w:tcPr>
          <w:p>
            <w:pPr>
              <w:pStyle w:val="TableContents"/>
              <w:bidi w:val="0"/>
              <w:spacing w:before="0" w:after="283"/>
              <w:jc w:val="left"/>
              <w:rPr>
                <w:sz w:val="20"/>
              </w:rPr>
            </w:pPr>
            <w:r>
              <w:rPr>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17,652,650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18,907,211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(1,254,561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w:t>
            </w:r>
          </w:p>
        </w:tc>
        <w:tc>
          <w:tcPr>
            <w:tcW w:w="200"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year ended December 31, 2025 were $17.7 million, a decrease of $1.3 million or (7%), compared to $18.9 million for the year ended December 31, 2024. Personnel costs decreased by $2.3 million and Depreciation and Amortization decreased by $782,000 whereas Professional fees increased by $1.2 million and General and administrative increased by $618,000.</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Personnel Costs. </w:t>
      </w:r>
      <w:r>
        <w:rPr>
          <w:rFonts w:ascii="Times New Roman;Times;Serif" w:hAnsi="Times New Roman;Times;Serif"/>
          <w:b w:val="false"/>
          <w:i w:val="false"/>
          <w:caps w:val="false"/>
          <w:smallCaps w:val="false"/>
          <w:sz w:val="20"/>
        </w:rPr>
        <w:t>Personnel costs decreased by $2.3 million, or (48%), from $4.8 million for the year ended December 31, 2024, to $2.5 million for the year ended December 31, 2025. The decrease was due to stock grants made to officers in 2024 for retention during the turnaround that did not recur in 2025 and also due to the reduction of highly compensated people at one of the Company’s subsidiaries approximately half way through 2025.</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Professional Fees. </w:t>
      </w:r>
      <w:r>
        <w:rPr>
          <w:rFonts w:ascii="Times New Roman;Times;Serif" w:hAnsi="Times New Roman;Times;Serif"/>
          <w:b w:val="false"/>
          <w:i w:val="false"/>
          <w:caps w:val="false"/>
          <w:smallCaps w:val="false"/>
          <w:sz w:val="20"/>
        </w:rPr>
        <w:t>Professional fees increased by $1.2 million, or 22% from $5.4 million for the year ended December 31, 2024 to $6.6 million for the year ended December 31, 2025. Utilization of attorneys was higher in 2025 than in 2024 particularly for matters such as the class action, DOJ lawsuit and other matters including the TinBu lawsuit.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General and Administrative. </w:t>
      </w:r>
      <w:r>
        <w:rPr>
          <w:rFonts w:ascii="Times New Roman;Times;Serif" w:hAnsi="Times New Roman;Times;Serif"/>
          <w:b w:val="false"/>
          <w:i w:val="false"/>
          <w:caps w:val="false"/>
          <w:smallCaps w:val="false"/>
          <w:sz w:val="20"/>
        </w:rPr>
        <w:t>General and administrative expenses of $4.3 million for the year ended December 31, 2025 are $618,000 or 17% higher than the $3.7 million incurred for the year ended December 31, 2024. The increase relates primarily to sponsorships and investor relations activities in 2025 that were not present in 2024 offset by lower use of outside consultants in 2025 and also because stock grants which were made to outside consultants in 2024 did not recur in 2025.</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Depreciation and Amortization. </w:t>
      </w:r>
      <w:r>
        <w:rPr>
          <w:rFonts w:ascii="Times New Roman;Times;Serif" w:hAnsi="Times New Roman;Times;Serif"/>
          <w:b w:val="false"/>
          <w:i w:val="false"/>
          <w:caps w:val="false"/>
          <w:smallCaps w:val="false"/>
          <w:sz w:val="20"/>
        </w:rPr>
        <w:t>Depreciation and amortization decreased $782,000, or (16%), from $5.0 million for the year ended December 31, 2024 to $4.2 million for the year ended December 31, 2025. The decrease in 2025 is because intangible assets for TinBu became fully amortized around mid-2024 and because write-offs of other intangibles in 2023 and 2024 resulted in lower amortization expense during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Other Expense, Net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90"/>
        <w:gridCol w:w="60"/>
        <w:gridCol w:w="85"/>
        <w:gridCol w:w="1409"/>
        <w:gridCol w:w="136"/>
        <w:gridCol w:w="85"/>
        <w:gridCol w:w="85"/>
        <w:gridCol w:w="1581"/>
        <w:gridCol w:w="95"/>
        <w:gridCol w:w="60"/>
        <w:gridCol w:w="60"/>
        <w:gridCol w:w="1055"/>
        <w:gridCol w:w="95"/>
        <w:gridCol w:w="60"/>
        <w:gridCol w:w="122"/>
        <w:gridCol w:w="993"/>
        <w:gridCol w:w="234"/>
      </w:tblGrid>
      <w:tr>
        <w:trPr/>
        <w:tc>
          <w:tcPr>
            <w:tcW w:w="3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3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6"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6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34" w:type="dxa"/>
            <w:tcBorders/>
            <w:vAlign w:val="center"/>
          </w:tcPr>
          <w:p>
            <w:pPr>
              <w:pStyle w:val="TableContents"/>
              <w:bidi w:val="0"/>
              <w:spacing w:before="0" w:after="283"/>
              <w:jc w:val="left"/>
              <w:rPr/>
            </w:pPr>
            <w:r>
              <w:rPr/>
              <w:t> </w:t>
            </w:r>
          </w:p>
        </w:tc>
      </w:tr>
      <w:tr>
        <w:trPr/>
        <w:tc>
          <w:tcPr>
            <w:tcW w:w="3990"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399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right"/>
              <w:rPr/>
            </w:pPr>
            <w:r>
              <w:rPr/>
              <w:t>217,905</w:t>
            </w:r>
          </w:p>
        </w:tc>
        <w:tc>
          <w:tcPr>
            <w:tcW w:w="13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581" w:type="dxa"/>
            <w:tcBorders/>
            <w:shd w:fill="FFFFFF" w:val="clear"/>
            <w:vAlign w:val="center"/>
          </w:tcPr>
          <w:p>
            <w:pPr>
              <w:pStyle w:val="TableContents"/>
              <w:bidi w:val="0"/>
              <w:spacing w:before="0" w:after="283"/>
              <w:jc w:val="right"/>
              <w:rPr/>
            </w:pPr>
            <w:r>
              <w:rPr/>
              <w:t>508,563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(290,658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-57</w:t>
            </w:r>
          </w:p>
        </w:tc>
        <w:tc>
          <w:tcPr>
            <w:tcW w:w="234" w:type="dxa"/>
            <w:tcBorders/>
            <w:shd w:fill="FFFFFF" w:val="clear"/>
            <w:vAlign w:val="center"/>
          </w:tcPr>
          <w:p>
            <w:pPr>
              <w:pStyle w:val="TableContents"/>
              <w:bidi w:val="0"/>
              <w:spacing w:before="0" w:after="283"/>
              <w:jc w:val="left"/>
              <w:rPr/>
            </w:pPr>
            <w:r>
              <w:rPr/>
              <w:t>%</w:t>
            </w:r>
          </w:p>
        </w:tc>
      </w:tr>
      <w:tr>
        <w:trPr/>
        <w:tc>
          <w:tcPr>
            <w:tcW w:w="399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1,248,967</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81" w:type="dxa"/>
            <w:tcBorders/>
            <w:shd w:fill="CCEEFF" w:val="clear"/>
            <w:vAlign w:val="center"/>
          </w:tcPr>
          <w:p>
            <w:pPr>
              <w:pStyle w:val="TableContents"/>
              <w:bidi w:val="0"/>
              <w:spacing w:before="0" w:after="283"/>
              <w:jc w:val="right"/>
              <w:rPr/>
            </w:pPr>
            <w:r>
              <w:rPr/>
              <w:t>968,903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280,064</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234" w:type="dxa"/>
            <w:tcBorders/>
            <w:shd w:fill="CCEEFF" w:val="clear"/>
            <w:vAlign w:val="center"/>
          </w:tcPr>
          <w:p>
            <w:pPr>
              <w:pStyle w:val="TableContents"/>
              <w:bidi w:val="0"/>
              <w:spacing w:before="0" w:after="283"/>
              <w:jc w:val="left"/>
              <w:rPr/>
            </w:pPr>
            <w:r>
              <w:rPr/>
              <w:t>%</w:t>
            </w:r>
          </w:p>
        </w:tc>
      </w:tr>
      <w:tr>
        <w:trPr/>
        <w:tc>
          <w:tcPr>
            <w:tcW w:w="399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(4,234,581</w:t>
            </w:r>
          </w:p>
        </w:tc>
        <w:tc>
          <w:tcPr>
            <w:tcW w:w="136"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581" w:type="dxa"/>
            <w:tcBorders/>
            <w:shd w:fill="FFFFFF" w:val="clear"/>
            <w:vAlign w:val="center"/>
          </w:tcPr>
          <w:p>
            <w:pPr>
              <w:pStyle w:val="TableContents"/>
              <w:bidi w:val="0"/>
              <w:spacing w:before="0" w:after="283"/>
              <w:jc w:val="right"/>
              <w:rPr/>
            </w:pPr>
            <w:r>
              <w:rPr/>
              <w:t>(107,143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4,127,438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3,852</w:t>
            </w:r>
          </w:p>
        </w:tc>
        <w:tc>
          <w:tcPr>
            <w:tcW w:w="234" w:type="dxa"/>
            <w:tcBorders/>
            <w:shd w:fill="FFFFFF" w:val="clear"/>
            <w:vAlign w:val="center"/>
          </w:tcPr>
          <w:p>
            <w:pPr>
              <w:pStyle w:val="TableContents"/>
              <w:bidi w:val="0"/>
              <w:spacing w:before="0" w:after="283"/>
              <w:jc w:val="left"/>
              <w:rPr/>
            </w:pPr>
            <w:r>
              <w:rPr/>
              <w:t>%</w:t>
            </w:r>
          </w:p>
        </w:tc>
      </w:tr>
      <w:tr>
        <w:trPr/>
        <w:tc>
          <w:tcPr>
            <w:tcW w:w="3990" w:type="dxa"/>
            <w:tcBorders/>
            <w:shd w:fill="CCEEFF" w:val="clear"/>
            <w:vAlign w:val="center"/>
          </w:tcPr>
          <w:p>
            <w:pPr>
              <w:pStyle w:val="TableContents"/>
              <w:bidi w:val="0"/>
              <w:spacing w:before="0" w:after="283"/>
              <w:jc w:val="left"/>
              <w:rPr/>
            </w:pPr>
            <w:r>
              <w:rPr/>
              <w:t>Reserve for loss of prepaid advertising credits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5,688,078</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81" w:type="dxa"/>
            <w:tcBorders/>
            <w:shd w:fill="CCEEFF" w:val="clear"/>
            <w:vAlign w:val="center"/>
          </w:tcPr>
          <w:p>
            <w:pPr>
              <w:pStyle w:val="TableContents"/>
              <w:bidi w:val="0"/>
              <w:spacing w:before="0" w:after="283"/>
              <w:jc w:val="right"/>
              <w:rPr/>
            </w:pPr>
            <w:r>
              <w:rPr/>
              <w:t>4,745,000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943,078</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20</w:t>
            </w:r>
          </w:p>
        </w:tc>
        <w:tc>
          <w:tcPr>
            <w:tcW w:w="234" w:type="dxa"/>
            <w:tcBorders/>
            <w:shd w:fill="CCEEFF" w:val="clear"/>
            <w:vAlign w:val="center"/>
          </w:tcPr>
          <w:p>
            <w:pPr>
              <w:pStyle w:val="TableContents"/>
              <w:bidi w:val="0"/>
              <w:spacing w:before="0" w:after="283"/>
              <w:jc w:val="left"/>
              <w:rPr/>
            </w:pPr>
            <w:r>
              <w:rPr/>
              <w:t>%</w:t>
            </w:r>
          </w:p>
        </w:tc>
      </w:tr>
      <w:tr>
        <w:trPr/>
        <w:tc>
          <w:tcPr>
            <w:tcW w:w="3990" w:type="dxa"/>
            <w:tcBorders/>
            <w:shd w:fill="FFFFFF" w:val="clear"/>
            <w:vAlign w:val="center"/>
          </w:tcPr>
          <w:p>
            <w:pPr>
              <w:pStyle w:val="TableContents"/>
              <w:bidi w:val="0"/>
              <w:spacing w:before="0" w:after="283"/>
              <w:jc w:val="left"/>
              <w:rPr/>
            </w:pPr>
            <w:r>
              <w:rPr/>
              <w:t>Loss on impairment of intangibles &amp; goodwill</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3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1" w:type="dxa"/>
            <w:tcBorders>
              <w:bottom w:val="single" w:sz="8" w:space="0" w:color="000000"/>
            </w:tcBorders>
            <w:shd w:fill="FFFFFF" w:val="clear"/>
            <w:tcMar>
              <w:bottom w:w="28" w:type="dxa"/>
            </w:tcMar>
            <w:vAlign w:val="center"/>
          </w:tcPr>
          <w:p>
            <w:pPr>
              <w:pStyle w:val="TableContents"/>
              <w:bidi w:val="0"/>
              <w:spacing w:before="0" w:after="283"/>
              <w:jc w:val="right"/>
              <w:rPr/>
            </w:pPr>
            <w:r>
              <w:rPr/>
              <w:t>4,298,002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(4,298,002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pPr>
            <w:r>
              <w:rPr/>
              <w:t>-100</w:t>
            </w:r>
          </w:p>
        </w:tc>
        <w:tc>
          <w:tcPr>
            <w:tcW w:w="234" w:type="dxa"/>
            <w:tcBorders/>
            <w:shd w:fill="FFFFFF" w:val="clear"/>
            <w:vAlign w:val="center"/>
          </w:tcPr>
          <w:p>
            <w:pPr>
              <w:pStyle w:val="TableContents"/>
              <w:bidi w:val="0"/>
              <w:spacing w:before="0" w:after="283"/>
              <w:jc w:val="left"/>
              <w:rPr/>
            </w:pPr>
            <w:r>
              <w:rPr/>
              <w:t>%</w:t>
            </w:r>
          </w:p>
        </w:tc>
      </w:tr>
      <w:tr>
        <w:trPr/>
        <w:tc>
          <w:tcPr>
            <w:tcW w:w="3990"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9" w:type="dxa"/>
            <w:tcBorders>
              <w:bottom w:val="single" w:sz="8" w:space="0" w:color="000000"/>
            </w:tcBorders>
            <w:shd w:fill="CCEEFF" w:val="clear"/>
            <w:tcMar>
              <w:bottom w:w="28" w:type="dxa"/>
            </w:tcMar>
            <w:vAlign w:val="center"/>
          </w:tcPr>
          <w:p>
            <w:pPr>
              <w:pStyle w:val="TableContents"/>
              <w:bidi w:val="0"/>
              <w:spacing w:before="0" w:after="283"/>
              <w:jc w:val="right"/>
              <w:rPr/>
            </w:pPr>
            <w:r>
              <w:rPr/>
              <w:t>2,920,369</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81" w:type="dxa"/>
            <w:tcBorders>
              <w:bottom w:val="single" w:sz="8" w:space="0" w:color="000000"/>
            </w:tcBorders>
            <w:shd w:fill="CCEEFF" w:val="clear"/>
            <w:tcMar>
              <w:bottom w:w="28" w:type="dxa"/>
            </w:tcMar>
            <w:vAlign w:val="center"/>
          </w:tcPr>
          <w:p>
            <w:pPr>
              <w:pStyle w:val="TableContents"/>
              <w:bidi w:val="0"/>
              <w:spacing w:before="0" w:after="283"/>
              <w:jc w:val="right"/>
              <w:rPr/>
            </w:pPr>
            <w:r>
              <w:rPr/>
              <w:t>10,413,325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(7,492,956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pPr>
            <w:r>
              <w:rPr/>
              <w:t>-72</w:t>
            </w:r>
          </w:p>
        </w:tc>
        <w:tc>
          <w:tcPr>
            <w:tcW w:w="23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Interest Expense. </w:t>
      </w:r>
      <w:r>
        <w:rPr>
          <w:rFonts w:ascii="Times New Roman;Times;Serif" w:hAnsi="Times New Roman;Times;Serif"/>
          <w:b w:val="false"/>
          <w:i w:val="false"/>
          <w:caps w:val="false"/>
          <w:smallCaps w:val="false"/>
          <w:sz w:val="20"/>
        </w:rPr>
        <w:t>Interest expense decreased by $291,000, or (57%), for the year ended December 31, 2025, from $509,000 to $218,000 as compared with the year ended December 31, 2024. This decrease is due to a large conversion from debt to equity by UCIL in the summer of 2024 along with more frequent conversions by UCIL during 2025 and conversions in the second quarter of 2025 of convertible debt placed by Univest in 2024 which combined to result in lower balances of convertible debt and therefore lower interest accruals in 2025.</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Other Expense. </w:t>
      </w:r>
      <w:r>
        <w:rPr>
          <w:rFonts w:ascii="Times New Roman;Times;Serif" w:hAnsi="Times New Roman;Times;Serif"/>
          <w:b w:val="false"/>
          <w:i w:val="false"/>
          <w:caps w:val="false"/>
          <w:smallCaps w:val="false"/>
          <w:sz w:val="20"/>
        </w:rPr>
        <w:t>Other expense increased by $280,000 or 29%, for the year ended December 31, 2025 as compared to the year ended December 31, 2024 from $969,000 to $1.25 million. This increase resulted primarily from increases to other expense for Global Gaming due to differences in classification of certain expenses during 2025 as compared with prior periods.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Other Income. </w:t>
      </w:r>
      <w:r>
        <w:rPr>
          <w:rFonts w:ascii="Times New Roman;Times;Serif" w:hAnsi="Times New Roman;Times;Serif"/>
          <w:b w:val="false"/>
          <w:i w:val="false"/>
          <w:caps w:val="false"/>
          <w:smallCaps w:val="false"/>
          <w:sz w:val="20"/>
        </w:rPr>
        <w:t>Other income increased by $4.1 million or 3,852%, for the year ended December 31, 2025 as compared to the year ended December 31, 2024 from $107,000 to $4.2 million. This increase was the result of recording statutory interest accrued on the Streicher judgement for the year ended December 31, 2025. In previous years we had taken a conservative approach given the uncertainty of collecting on this judgement. However, prior to filing this report, the Company gained new information which increases confidence of management that we will collect on the Streicher judgement and the statutory interest.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Reserve for loss of prepaid advertising credits. </w:t>
      </w:r>
      <w:r>
        <w:rPr>
          <w:rFonts w:ascii="Times New Roman;Times;Serif" w:hAnsi="Times New Roman;Times;Serif"/>
          <w:b w:val="false"/>
          <w:i w:val="false"/>
          <w:caps w:val="false"/>
          <w:smallCaps w:val="false"/>
          <w:sz w:val="20"/>
        </w:rPr>
        <w:t>Reserve for loss of prepaid advertising credits increased by $943,000 or 20% to 5.7 million for the year ended December 31, 2025 as compared to $4.75 million for the year ended December 31, 2024. These reserves were recorded to reflect the possibility that the Company may not be able to fully utilize the value of prepaid advertising credits that was included on its Balance Sheet at December 31 2025 and 2024.</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Loss on impairment of intangibles &amp; goodwill </w:t>
      </w:r>
      <w:r>
        <w:rPr>
          <w:rFonts w:ascii="Times New Roman;Times;Serif" w:hAnsi="Times New Roman;Times;Serif"/>
          <w:b w:val="false"/>
          <w:i w:val="false"/>
          <w:caps w:val="false"/>
          <w:smallCaps w:val="false"/>
          <w:sz w:val="20"/>
        </w:rPr>
        <w:t>decreased by ($4.3) million or (100%) for the year ended December 31, 2025 as compared with the year ended December 31, 2024. For the year ended December 31, 2025, there were no impairments recorded to goodwill or intangible assets whereas for the year ended December 31 2024, impairments to intangible assets were recorded for $1.6 million related to the TinBu subsidiary and $2.7 million related to the Global Gaming subsidiary, respectively, for a total of $4.3 million.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2022 operational cessation, the Company’s primary liquidity requirements were driven by working capital needs, growth initiatives, capital expenditures and general corporate purposes. Historically, these requirements were funded primarily through financing activities, including the proceeds received in connection with the business combination completed on October 29, 2021, which generated approximately $42.8 million in net cash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2022 operational cessation, the Company has repositioned its liquidity strategy to support the disciplined restart and scaling of operations, with a focus on capital-efficient growth and the acquisition of revenue-generating businesses. The Company’s liquidity needs are currently centered on funding strategic acquisitions, supporting integration activities, rebuilding operational capabilities, and investing in core infrastructure aligned with its long-term growth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the Company entered into a Securities Purchase Agreement providing for the issuance of unsecured convertible promissory notes. This financing provides the Company with near-term capital to advance its strategic initiatives and reflects continued access to institutional capital in support of its business plan. The Company expects to deploy proceeds from this financing, together with additional capital sources, to execute on its acquisition strategy, including the completion of the integration of Veloce Media Group, and to pursue additional accretive opportunities across its target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strategy is focused on building a diversified, revenue-generating platform at the intersection of sports, entertainment and gaming. Management believes that its ability to structure and execute strategic transactions, combined with access to capital markets, positions the Company to accelerate growth while maintaining flexibility in capital allocation. The Company continues to evaluate a range of financing alternatives, including debt, equity and structured capital solutions, to support its expansion and optimize its capital structure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Deployment Framework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employs a disciplined capital deployment framework designed to prioritize investments that drive near- and medium-term revenue generation while preserving balance sheet flexibility. Capital is allocated based on a structured evaluation of (i) the ability of a transaction or initiative to contribute to revenue growth and cash flow generation, (ii) the strategic alignment with the Company’s core verticals of sports, entertainment and gaming, (iii) the potential for operational synergies and scalable platform integration, and (iv) the overall impact on shareholder value, including dilution considerations. The Company prioritizes transactions that can be funded through existing or committed capital sources and that demonstrate a clear path to monetization. Management continuously evaluates capital allocation decisions to ensure alignment with its objective of building a sustainable, high-growth, revenue-generating platform.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Company’s growth strategy is dependent on continued access to capital, management believes that the progress made in securing financing and advancing key transactions provides a strong foundation for execution. The Company remains focused on aligning capital deployment with revenue-generating initiatives and maintaining financial discipline as it scales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additional financing will be available on favorable terms, or at all; however, the Company believes it is well-positioned to access capital in support of its strategic objectives. If the Company is unable to obtain sufficient capital, it may be required to adjust the pace of its growth initiatives; however, management intends to prioritize capital allocation toward opportunities that enhance the Company’s revenue profile and long-term shareholder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conditions, along with our current lack of material revenue producing activities, and significant debt, raise substantial doubt about our ability to continue as a going concern for the next 12 months. For more information, see </w:t>
      </w:r>
      <w:r>
        <w:rPr>
          <w:rFonts w:ascii="Times New Roman;Times;Serif" w:hAnsi="Times New Roman;Times;Serif"/>
          <w:b w:val="false"/>
          <w:i/>
          <w:caps w:val="false"/>
          <w:smallCaps w:val="false"/>
          <w:sz w:val="20"/>
        </w:rPr>
        <w:t>Note 2 - Significant Accounting Policies</w:t>
      </w:r>
      <w:r>
        <w:rPr>
          <w:rFonts w:ascii="Times New Roman;Times;Serif" w:hAnsi="Times New Roman;Times;Serif"/>
          <w:b w:val="false"/>
          <w:i w:val="false"/>
          <w:caps w:val="false"/>
          <w:smallCaps w:val="false"/>
          <w:sz w:val="20"/>
        </w:rPr>
        <w:t>, Going Concern to the consolidated financial statements included herein, as well as the risk factors included in Item 1A of this Report entitled “</w:t>
      </w:r>
      <w:r>
        <w:rPr>
          <w:rFonts w:ascii="Times New Roman;Times;Serif" w:hAnsi="Times New Roman;Times;Serif"/>
          <w:b w:val="false"/>
          <w:i/>
          <w:caps w:val="false"/>
          <w:smallCaps w:val="false"/>
          <w:sz w:val="20"/>
        </w:rPr>
        <w:t>In July 2022, we furloughed the majority of our employees and suspended our lottery game sales operations after determining that we did not have sufficient financial sources to fund our operations or pay certain existing obligations, including our payroll and related obligations. As a result, we may not be able to continue as a going concern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[w]e need additional capital to, among other things, support and restart our operations, re-hire employees and pay our expenses. Such capital may not be available on commercially acceptable terms, if at all. If we do not receive the additional capital, we may be forced to curtail or abandon our plans to recommence our operations and we may need to permanently cease our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Debt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Business Combination, we funded our operations through the issuance of 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August to October 2017, the Company entered into seven Convertible Promissory Note Agreements with unaffiliated investors for an aggregate amount of $821,500. The notes bore interest at 10% per year, were unsecured, and were due and payable on June 30, 2019. The Company and the noteholders executed amendments in February 2021 to extend the maturity date to December 21,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November 2019 through October 28, 2021, we issued approximately $48.2 million in aggregate principal amount of Series B convertible promissory notes. The notes bore interest at 8% per year, were unsecured, and were due and payable on dates ranging from December 2020 to December 2022. For those promissory notes that would have matured on or before December 31, 2020, the parties extended the maturity date to December 21, 2021 through amendments executed in February 2021. The amendments also allowed for automatic conversion to equity as a result of the Business Combination. Nearly all of the aforementioned promissory notes automatically converted into shares of Common Stock or were terminated pursuant to their terms, as applicable, in connection with the Closing. Those that remain outstanding do not have conversion terms that were triggered by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approximately $60.0 million of convertible debt was converted into equity of AutoLotto.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$2,297,683 of convertible debt outstanding. A portion of this debt has matured and is theoretically in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Recent Developments- Loan Agreement with Woodford</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Loan Agreement with United Capital Investments London Limited”</w:t>
      </w:r>
      <w:r>
        <w:rPr>
          <w:rFonts w:ascii="Times New Roman;Times;Serif" w:hAnsi="Times New Roman;Times;Serif"/>
          <w:b w:val="false"/>
          <w:i w:val="false"/>
          <w:caps w:val="false"/>
          <w:smallCaps w:val="false"/>
          <w:sz w:val="20"/>
        </w:rPr>
        <w:t xml:space="preserve"> above for additional information.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operating activities was negative $3.43 million for the year ended December 31, 2025, compared to net cash used by operating activities of negative $1.88 million for the year ended December 31, 2024. Factors affecting changes in operating cash flows were increased legal fees and expenses for investor relations and sponsorships in 2025 as compared to 2024.</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year ended December 31, 2025 was $2.57 million, compared to $1.55 million for the prior year. The increase for 2025 was due to payments made during 2025 as deposits for pending acquisitions of Veloce eSports and Nook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$6.27 million for the year ended December 31, 2025, compared to $3.25 million used by financing activities for the year ended December 31, 2024. The increase was primarily due to funding received under the Stock Purchase Agreement with Generating Alpha during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or Adoption of Accounting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U.S. GAAP standards have been recently issued by the Financial Accounting Standards Board (the “FASB”). We are in the process of assessing the impact of these new standards on future consolidated financial statements. Pronouncements that are not applicable or where it has been determined do not have a significant impact on the Company have been excluded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ASU 2023-07, Segment Reporting (Topic 280)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which enhances disclosures for reportable segments, including the requirement to disclose significant segment expenses and other segment items. The amendments are effective for fiscal years beginning after December 15, 2023. The Company adopted this guidance in the current fiscal year. The adoption has not had a material impact on the Company’s consolidated financial statements but the Company is currently evaluating the impact of this standard on its future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ASU 2023-09, Improvements to Income Tax Disclosures (Topic 740)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which enhances income tax disclosures, including additional disaggregation of the effective tax rate reconciliation and income taxes paid by jurisdiction. The amendments are effective for fiscal years beginning after December 15, 2024. The Company is currently evaluating the impact of this standard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ASC 606, Revenue from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May 2014 and December 2016, the FASB issued several Accounting Standards Updates (“ASUs”)’s on ASC 606, which updates superseded nearly all previous revenue recognition guidance under U.S. GAAP. The core principle is to recognize revenues when promised goods or services are transferred to customers in an amount that reflects the consideration to which an entity expects to be entitled for those goods or services. A five-step process has been defined to achieve this core principle, and, in doing so, more judgment and estimates may be required within the revenue recognition process that was required under previous U.S. GAAP. The standards are effective for annual periods beginning after December 15, 2017 using either of the following transition methods: (i) a full retrospective approach reflecting the application of the standards in each prior reporting period with the option to elect certain practical expedients; or (ii) a retrospective approach with the cumulative effect of initially adopting the standards recognized at the date of adoption (which includes additional footnote disclosures). The Company adopted these standards effective on January 1, 2018, and management concluded the adoption of this standard did not result in any financial statement impacts or changes to revenue recognition policies or processes as revenue is primarily derived from arrangements in which the transfer of control coincides with the fulfillment of performance obligations.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are prepared in conformity with U.S. GAAP. Certain of our accounting policies require that management apply significant judgments and estimates in defining the appropriate assumptions integral to financial estimates. Judgments are based on historical experience and other factors that we believe to be reasonable under the circumstances, such as terms of contracts, industry trends and information available from outside sources, as appropriate. However, by their nature, judgments are subject to an inherent degree of uncertainty, and therefore actual results could differ from our estimates. We have applied significant estimates and assumptions related to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and Cost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The core principle of ASC 606 is that an entity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provided to our users, customers and subscribers, reflecting the amount of consideration we expect to receive for those products. We enter into contracts that can include various products, which are generally capable of being distinct and accounted for as separate performance obligations. Revenue is recognized net of any taxes collected from users, commercial partners and subscribers, which are subsequently remitted to governmental authorities. The revenue recognition policy is consistent for sales generated directly with users and sales generated indirectly through affiliates, other solution partners, and our commercial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are recognized upon the application of the following steps:</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75"/>
        <w:gridCol w:w="170"/>
        <w:gridCol w:w="69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a contract or contracts with a user, customer or subscriber;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9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performance obligation(s) in the contract;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9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9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9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the performance obligation is satisfied.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Contracts with users and customers for lottery game sales are at the point of sale and may include transfer of multiple products to a user or a customer and generally do not require future obligations. In these situations, the Company generally considers each transferred product as a separate performance obligation. The Company evaluates whether it acts as a principal or agent in these arrangements. Where the Company acts as an agent, revenue is recognized on a net basis representing the commission or fee retained.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has contracts with subscribers for the continued delivery of lottery data over a defined period of time. In accounting for these contracts, the Company generally considers each set of data as a separate performance obligation and recognizes revenue on their delivery ratably over the service period of the agreement. The Company’s products are sold without a right of return or refund; the Company’s terms of service and contracts generally include specific language that disclaims any warranties.</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color w:val="0E0E0E"/>
          <w:sz w:val="20"/>
        </w:rPr>
      </w:pPr>
      <w:r>
        <w:rPr>
          <w:rFonts w:ascii="Times New Roman;Times;Serif" w:hAnsi="Times New Roman;Times;Serif"/>
          <w:b/>
          <w:i/>
          <w:caps w:val="false"/>
          <w:smallCaps w:val="false"/>
          <w:color w:val="0E0E0E"/>
          <w:sz w:val="20"/>
        </w:rPr>
        <w:t>Cost of Revenue</w:t>
      </w:r>
    </w:p>
    <w:p>
      <w:pPr>
        <w:pStyle w:val="TextBody"/>
        <w:bidi w:val="0"/>
        <w:jc w:val="left"/>
        <w:rPr>
          <w:caps w:val="false"/>
          <w:smallCaps w:val="false"/>
        </w:rPr>
      </w:pPr>
      <w:r>
        <w:rPr>
          <w:caps w:val="false"/>
          <w:smallCaps w:val="false"/>
        </w:rPr>
        <w:t> </w:t>
      </w:r>
    </w:p>
    <w:p>
      <w:pPr>
        <w:pStyle w:val="TextBody"/>
        <w:bidi w:val="0"/>
        <w:jc w:val="left"/>
        <w:rPr>
          <w:b w:val="false"/>
          <w:i w:val="false"/>
          <w:caps w:val="false"/>
          <w:smallCaps w:val="false"/>
          <w:sz w:val="20"/>
        </w:rPr>
      </w:pPr>
      <w:r>
        <w:rPr>
          <w:b w:val="false"/>
          <w:i w:val="false"/>
          <w:caps w:val="false"/>
          <w:smallCaps w:val="false"/>
          <w:sz w:val="20"/>
        </w:rPr>
        <w:t>Cost of revenue consists primarily of payments to lottery providers and partners, data acquisition costs, content and media production expenses, platform and transaction processing fees, and affiliate commissions. Costs are recognized as incurred and are matched to the period in which the related revenue is recognized. Certain costs, such as revenue share arrangements, are recognized concurrently with the associated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both financial accounting and tax reporting purposes, the Company reports income and expenses based on the accrual method of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and state income tax purposes, the Company reports income or loss from their investments in limited liability companies on the consolidated income tax returns. As such, all taxable income and available tax credits are passed from the limited liability companies to the individual members. It is the responsibility of the individual members to report the taxable income and tax credits, and to pay any resulting income taxes. Therefore, in relation to the income and losses incurred by the limited liability companies, they have been consolidated in the Company’s tax return and provision based upon its relative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in accordance with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(“ASC 740”),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is provided for those deferred tax assets for which it is more likely than not that the related benefit will not be realized.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uncertain tax positions in accordance with ASC 740 on the basis of a two-step process in which (i) the Company determines whether it is more likely than not that the tax positions will be sustained on the basis of the technical merits of the position; and (ii) for those tax positions that meet the more likely than not recognition threshold, the Company recognizes the largest amount of tax benefit that is more than 50 percent likely to be realized upon ultimate settlement with the related tax authority. The Company’s policy is to recognize interest and penalties related to the underpayment of income taxes as a component of income tax expense or benefit. To date, there have been no interest or penalties charged in relation to the unrecognized tax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taxing authorities can audit the previous three years of tax returns and in certain situations audit additional years. For federal tax purposes, the Company’s 2021 through 2024 tax years generally remain open for examination by the tax authorities under the normal three-year statute of limitations. For state tax purposes, the Company’s 2021 through 2024 tax years remain open for examination by the tax authorities under the normal four-year statute of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for the year ended December 31, 2025 were not a significant component of the Company’s results of operations. The Company has incurred cumulative losses and maintains a full valuation allowance against its deferred tax assets. As a result, no material income tax expense or benefit has been recognized.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accounting for income taxes reflects management’s current assessment of available information and is subject to refinement as additional analysis is completed. Any such adjustments are not expected to be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business combination, substantially all identifiable assets, liabilities and contingent liabilities acquired are recorded at the date of acquisition at their respective fair values. One of the most significant areas of judgment and estimation relates to the determination of the fair value of these assets and liabilities, including the fair value of contingent consideration, if applicable. If any intangible assets are identified, depending on the type of intangible asset and the complexity of determining its fair value, an independent external valuation expert may develop the fair value, using appropriate valuation techniques, which are generally based on a forecast of the total expected future net cash flows. These valuations are linked closely to the assumptions made by our management regarding the future performance of the assets concerned and any changes in the discount rate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Collectability of Note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secured note receivable from a third party with an outstanding principal balance of $2.0 million as of December 31, 2025. The note matured during 2025 and remains outstanding. Management evaluates the collectability of this receivable in accordance with ASC 326 and exercises significant judgment in estimating expected credit losses. In performing this assessment, management considers the borrower’s financial condition, the value of the collateral securing the note, the personal guarantee provided by the borrower’s principal, the Company’s contractual enforcement rights, and other available information. Based on this evaluation, management concluded that no allowance for expected credit losses was required as of December 31, 2025. Changes in the financial condition of the borrower or guarantor, the value of the collateral, or other facts and circumstances could result in changes to this estimate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assets and financial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financial assets and financial liabilities recorded in the consolidated statements of financial position, which cannot be derived from active markets, is determined using a variety of techniques including the use of valuation models. The inputs to these models are derived from observable market data where possible, but where observable market data is not available, judgment is required to establish fair values. Judgment includes, but is not limited to, consideration of model inputs such as volatility, estimated life and discount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stock options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 Black-Scholes option-pricing model to calculate the fair value of stock options and warrants. Use of this method requires management to make assumptions and estimates about the expected life of options and warrants, anticipated forfeitures, the risk-free rate, and the volatility of our share price. In making these assumptions and estimates, management relies on historical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Estimated useful lives, depreciation of property, plant and equipment, and amortization of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plant and equipment and amortization of intangible assets is dependent upon estimates of useful lives based on management’s judgment. The assessment of any impairment of these assets is dependent upon estimates of recoverable amounts that consider factors such as economic and market conditions and the useful lives of assets.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and indefinite life intangible asset impairment testing require us to make estimates in the impairment testing model. On an annual basis, we test whether goodwill and indefinite life intangible assets are impaired. Impairment is influenced by judgment in defining a cash-generating unit (“CGU”) and determining the indicators of impairment, and estimates used to measure impairment losses. The recoverable amount is the greater of value in use and fair value less costs to sell. The recoverable value of goodwill, indefinite and definite long-lived assets is determined using discounted future cash flow models, which incorporate assumptions regarding projected future cash flows and capital investment, growth rates and discount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Tax Asset and Valuation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for deferred tax assets, including those arising from tax loss carry-forwards, requires management to assess the likelihood that we will generate sufficient taxable earnings in future periods in order to utilize recognized deferred tax assets. Assumptions about the generation of future taxable profits depend on management’s estimates of future cash flows. In addition, future changes in tax laws could limit our ability to obtain tax deductions in future periods. To the extent that future cash flows and taxable income differ significantly from estimates, the ability of the Company to realize the net deferred tax assets recorded at the reporting date could be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Accounting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We are an “emerging growth company” as defined in Section 2(a) of the Securities Act of 1933, as amended, and have elected to take advantage of the benefits of this extended transition period. We expect to remain an emerging growth company through the end of the 2024 fiscal year and we expect to continue to take advantage of the benefits of the extended transition period. This may make it difficult or impossible to compare the financial results with the financial results of another public company that is either not an emerging growth company or is an emerging growth company that has chosen not to take advantage of the extended transition period exemptions for emerging growth companies because of the potential differences in accounting standards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 w:name="a_010"/>
      <w:bookmarkEnd w:id="58"/>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as defined by Rule 10(f)(1) of Regulation S-K, the Company is not required to provide this information.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9" w:name="a_011"/>
      <w:bookmarkEnd w:id="59"/>
      <w:r>
        <w:rPr>
          <w:rFonts w:ascii="Times New Roman;Times;Serif" w:hAnsi="Times New Roman;Times;Serif"/>
          <w:b/>
          <w:i w:val="false"/>
          <w:caps w:val="false"/>
          <w:smallCaps w:val="false"/>
          <w:sz w:val="20"/>
        </w:rPr>
        <w:t>Item 8. Financial Statements and Supplementary Data.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jc w:val="center"/>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9320"/>
        <w:gridCol w:w="305"/>
      </w:tblGrid>
      <w:tr>
        <w:trPr/>
        <w:tc>
          <w:tcPr>
            <w:tcW w:w="9320" w:type="dxa"/>
            <w:tcBorders/>
            <w:shd w:fill="CCEEFF" w:val="clear"/>
            <w:vAlign w:val="center"/>
          </w:tcPr>
          <w:p>
            <w:pPr>
              <w:pStyle w:val="TableContents"/>
              <w:bidi w:val="0"/>
              <w:spacing w:before="0" w:after="283"/>
              <w:jc w:val="left"/>
              <w:rPr/>
            </w:pPr>
            <w:hyperlink w:anchor="f_001">
              <w:r>
                <w:rPr>
                  <w:rStyle w:val="InternetLink"/>
                  <w:rFonts w:ascii="Times New Roman;Times;Serif" w:hAnsi="Times New Roman;Times;Serif"/>
                  <w:b w:val="false"/>
                  <w:i w:val="false"/>
                  <w:caps w:val="false"/>
                  <w:smallCaps w:val="false"/>
                  <w:sz w:val="20"/>
                </w:rPr>
                <w:t>Report of Boladale Lawal &amp; Co, Chartered Accountants</w:t>
              </w:r>
            </w:hyperlink>
            <w:r>
              <w:rPr>
                <w:rFonts w:ascii="Times New Roman;Times;Serif" w:hAnsi="Times New Roman;Times;Serif"/>
                <w:b w:val="false"/>
                <w:i w:val="false"/>
                <w:caps w:val="false"/>
                <w:smallCaps w:val="false"/>
                <w:sz w:val="20"/>
              </w:rPr>
              <w:t xml:space="preserve"> (PCAOB ID:</w:t>
            </w:r>
            <w:bookmarkStart w:id="60" w:name="xdx_906_edei--AuditorFirmId_c20250101__2"/>
            <w:bookmarkEnd w:id="60"/>
            <w:r>
              <w:rPr>
                <w:rFonts w:ascii="Times New Roman;Times;Serif" w:hAnsi="Times New Roman;Times;Serif"/>
                <w:b w:val="false"/>
                <w:i w:val="false"/>
                <w:caps w:val="false"/>
                <w:smallCaps w:val="false"/>
                <w:sz w:val="20"/>
              </w:rPr>
              <w:t>6993)</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20" w:type="dxa"/>
            <w:tcBorders/>
            <w:shd w:fill="CCEEFF" w:val="clear"/>
            <w:vAlign w:val="center"/>
          </w:tcPr>
          <w:p>
            <w:pPr>
              <w:pStyle w:val="TableContents"/>
              <w:bidi w:val="0"/>
              <w:spacing w:before="0" w:after="283"/>
              <w:jc w:val="left"/>
              <w:rPr/>
            </w:pPr>
            <w:hyperlink w:anchor="f_002">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20" w:type="dxa"/>
            <w:tcBorders/>
            <w:shd w:fill="CCEEFF" w:val="clear"/>
            <w:vAlign w:val="center"/>
          </w:tcPr>
          <w:p>
            <w:pPr>
              <w:pStyle w:val="TableContents"/>
              <w:bidi w:val="0"/>
              <w:spacing w:before="0" w:after="283"/>
              <w:jc w:val="left"/>
              <w:rPr/>
            </w:pPr>
            <w:hyperlink w:anchor="f_003">
              <w:r>
                <w:rPr>
                  <w:rStyle w:val="InternetLink"/>
                  <w:rFonts w:ascii="Times New Roman;Times;Serif" w:hAnsi="Times New Roman;Times;Serif"/>
                  <w:b w:val="false"/>
                  <w:i w:val="false"/>
                  <w:caps w:val="false"/>
                  <w:smallCaps w:val="false"/>
                  <w:sz w:val="20"/>
                </w:rPr>
                <w:t>Consolidated Statements of Operations and Comprehensive Loss for the Years ended December 31, 2025 and 2024</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20" w:type="dxa"/>
            <w:tcBorders/>
            <w:shd w:fill="CCEEFF" w:val="clear"/>
            <w:vAlign w:val="center"/>
          </w:tcPr>
          <w:p>
            <w:pPr>
              <w:pStyle w:val="TableContents"/>
              <w:bidi w:val="0"/>
              <w:spacing w:before="0" w:after="283"/>
              <w:jc w:val="left"/>
              <w:rPr/>
            </w:pPr>
            <w:hyperlink w:anchor="f_004">
              <w:r>
                <w:rPr>
                  <w:rStyle w:val="InternetLink"/>
                  <w:rFonts w:ascii="Times New Roman;Times;Serif" w:hAnsi="Times New Roman;Times;Serif"/>
                  <w:b w:val="false"/>
                  <w:i w:val="false"/>
                  <w:caps w:val="false"/>
                  <w:smallCaps w:val="false"/>
                  <w:sz w:val="20"/>
                </w:rPr>
                <w:t>Consolidated Statements of Equity for the Years ended December 31, 2025 and 2024</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20" w:type="dxa"/>
            <w:tcBorders/>
            <w:shd w:fill="CCEEFF" w:val="clear"/>
            <w:vAlign w:val="center"/>
          </w:tcPr>
          <w:p>
            <w:pPr>
              <w:pStyle w:val="TableContents"/>
              <w:bidi w:val="0"/>
              <w:spacing w:before="0" w:after="283"/>
              <w:jc w:val="left"/>
              <w:rPr/>
            </w:pPr>
            <w:hyperlink w:anchor="f_005">
              <w:r>
                <w:rPr>
                  <w:rStyle w:val="InternetLink"/>
                  <w:rFonts w:ascii="Times New Roman;Times;Serif" w:hAnsi="Times New Roman;Times;Serif"/>
                  <w:b w:val="false"/>
                  <w:i w:val="false"/>
                  <w:caps w:val="false"/>
                  <w:smallCaps w:val="false"/>
                  <w:sz w:val="20"/>
                </w:rPr>
                <w:t>Consolidated Statements of Cash Flows for the Years ended December 31, 2025 and 2024</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9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20" w:type="dxa"/>
            <w:tcBorders/>
            <w:shd w:fill="CCEEFF" w:val="clear"/>
            <w:vAlign w:val="center"/>
          </w:tcPr>
          <w:p>
            <w:pPr>
              <w:pStyle w:val="TableContents"/>
              <w:bidi w:val="0"/>
              <w:spacing w:before="0" w:after="283"/>
              <w:jc w:val="left"/>
              <w:rPr/>
            </w:pPr>
            <w:hyperlink w:anchor="f_006">
              <w:r>
                <w:rPr>
                  <w:rStyle w:val="InternetLink"/>
                  <w:rFonts w:ascii="Times New Roman;Times;Serif" w:hAnsi="Times New Roman;Times;Serif"/>
                  <w:b w:val="false"/>
                  <w:i w:val="false"/>
                  <w:caps w:val="false"/>
                  <w:smallCaps w:val="false"/>
                  <w:sz w:val="20"/>
                </w:rPr>
                <w:t>Notes to Consolidated Financial Statements</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1" w:name="f_001"/>
      <w:bookmarkEnd w:id="61"/>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Sports Entertainment Gaming Global 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Sports Entertainment Gaming Global Corporation (the ‘Company’) as of December 31, 2025 and 2024, and the related consolidated statements of operations and comprehensive loss, changes in stockholders’ equity/ (deficit) and cash flows for each of the two years in the period ended December 31, 2025 and 2024, and the related notes (collectively referred to as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consolidated financial statements present fairly, in all material respects, the consolidated financial position of the Company as of December 31, 2025 and 2024, and the results of its operations and its cash flows for each of the two years in the period ended December 31, 2025 and 2024,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2, the Company suffered an accumulated deficit of $(284,007,361), net loss of $(20,805,067) and a negative working capital of $(19,019,072). The Company is dependent on obtaining additional working capital funding from the sale of equity and/or debt securities to execute its plans and continue operations. These conditions raise substantial doubt about the Company’s ability to continue as a going concern. These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Critical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Communication of critical audit matters does not alter in any way our opinion on the financial statements taken as a whole and we are not, by communicating the critical audit matters, providing separate opinions on the critical audit matter or on the accounts or disclosures to which they relate.</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Valuation of asset acquisition.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Description of the Matter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Note 3 to the financial statements, on July 23, 2025 the Company acquired a 51% interest in the assets of DotCom Ventures Inc., through a share purchase agreement whereby the company issued 1,700,000 shares of its common stock valued at $3 per share prior to the August 2025 reverse stock split. The acquisition consists primarily of the Concerts.com and TicketStub.com </w:t>
      </w:r>
      <w:r>
        <w:rPr>
          <w:rFonts w:ascii="Times New Roman;Times;Serif" w:hAnsi="Times New Roman;Times;Serif"/>
          <w:b/>
          <w:i w:val="false"/>
          <w:caps w:val="false"/>
          <w:smallCaps w:val="false"/>
          <w:sz w:val="20"/>
        </w:rPr>
        <w:t>domain names and certain related technology assets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transaction under the applicable accounting guidance and concluded that the acquired set of assets did not meet the definition of a business acquisition because there was no substantive process where a set of inputs could be converted into specific outputs and there was no workforce consisting of employees or organized contractors in place for converting acquired inputs into outputs as of December 31, 2025. Accordingly, the transaction has been accounted for as an asset acquisition, with the purchase price allocated to the acquired assets based on their relative fair values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valuation of the asset and the adequacy of the accounting treatment applied by management as a critical audit matter because this required a higher degree of auditor’s judgment and an increased extent of effort when performing audit procedures to evaluate the reasonableness of management’s assumptions.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primary procedures we performed to address this critical audit matter included:</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We reviewed and challenged the reasonableness of key management assumptions used in the estimate.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We reviewed the report of the independent valuation firm that performed the valuation of the intangible assets.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We evaluated whether the relative fair value allocation was consistent with observable market data and industry benchmarks.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We assessed the suitability of the market approach and Auction discount table used by the valuation specialist.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We obtained and reviewed the executed stock purchase agreements provided by management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We assessed whether management’s disclosures in Note 3 adequately described the basis for accounting as an asset acquisition rather than a business combination.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We re-performed the Screen test and framework evaluation of ASC 805 criteria to assess the appropriateness of the accounting treatment applied by management.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We performed data integrity procedures, including testing the accuracy of selected journal entries by agreeing them to approved supporting documentation.</w:t>
            </w:r>
          </w:p>
        </w:tc>
      </w:tr>
    </w:tbl>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Accounting for Material Prepaid Advertising Credits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Description of the Matter</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 material prepaid asset related to advertising credits received from third-party vendors in exchange for the Company’s issuance of shares approximately seven years ago. As of December 31, 2025, the prepaid asset remains substantially unutilized, with only approximately 55% amortized through the income statement to date. The remaining balance continues to be carried as a prepaid asset.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Auditing this balance was especially challenging due to the nature of the transaction (a non-cash exchange), the long duration of inactivity, and the lack of direct confirmation from the third-party vendors. While the Company provided internal documentation, including historical agreements, email correspondence, and written representations from management, the audit team exercised significant judgment in evaluating the recoverability of the asset and whether sufficient appropriate audit evidence existed to support its continued recognition.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procedures included, among others:</w:t>
      </w:r>
    </w:p>
    <w:p>
      <w:pPr>
        <w:pStyle w:val="TextBody"/>
        <w:shd w:fill="FFFFFF" w:val="clear"/>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We obtained and reviewed the original transactions documentation and correspondence between the parties.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We considered the guidance under ASC 340 (Other Assets and Deferred Costs) in evaluating whether continued recognition of the prepaid balance was appropriate.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We evaluated the consistency of management’s position, reviewed legal representations and opinions regarding enforceability.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We assessed whether management’s representations were corroborated by external evidence, including legal opinions on enforceability of the advertising agreements.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We considered whether the asset remained probable of being realized in future periods.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We considered whether partial impairment was necessary to reflect recoverability risk, and whether disclosure in Note 6 adequately described the uncertainty.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We proposed an additional allowance of 30% to the income statement which is included in the approximately 55% described above.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We reviewed the journal entry posting, recalculated the prepayment amortization schedule and remaining credit balance on the advertising agreements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We evaluated whether the Company’s disclosures in Note 6 met SEC Regulation S-X and PCAOB requirements related to this prepaid balance.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bookmarkStart w:id="62" w:name="xdx_90B_edei--AuditorName_c20250101__202"/>
      <w:bookmarkEnd w:id="62"/>
      <w:r>
        <w:rPr>
          <w:rFonts w:ascii="Times New Roman;Times;Serif" w:hAnsi="Times New Roman;Times;Serif"/>
          <w:b w:val="false"/>
          <w:i w:val="false"/>
          <w:caps w:val="false"/>
          <w:smallCaps w:val="false"/>
          <w:sz w:val="20"/>
        </w:rPr>
        <w:t>Boladale Lawal</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BOLADALE LAWAL &amp; CO.</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(Chartered Accountants)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(PCAOB ID 6993)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3" w:name="xdx_900_edei--AuditorLocation_c20250101_"/>
      <w:bookmarkEnd w:id="63"/>
      <w:r>
        <w:rPr>
          <w:rFonts w:ascii="Times New Roman;Times;Serif" w:hAnsi="Times New Roman;Times;Serif"/>
          <w:b w:val="false"/>
          <w:i w:val="false"/>
          <w:caps w:val="false"/>
          <w:smallCaps w:val="false"/>
          <w:sz w:val="20"/>
        </w:rPr>
        <w:t>Lagos, Nigeria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p>
      <w:pPr>
        <w:pStyle w:val="TextBody"/>
        <w:bidi w:val="0"/>
        <w:spacing w:before="0" w:after="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64" w:name="f_002"/>
      <w:bookmarkEnd w:id="64"/>
      <w:r>
        <w:rPr>
          <w:rFonts w:ascii="Times New Roman;Times;Serif" w:hAnsi="Times New Roman;Times;Serif"/>
          <w:b w:val="false"/>
          <w:i w:val="false"/>
          <w:caps w:val="false"/>
          <w:smallCaps w:val="false"/>
          <w:sz w:val="20"/>
        </w:rPr>
        <w:t>SPORTS ENTERTAINMENT GAMING GLOBAL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BALANCE SHEETS</w:t>
      </w:r>
    </w:p>
    <w:p>
      <w:pPr>
        <w:pStyle w:val="TextBody"/>
        <w:bidi w:val="0"/>
        <w:spacing w:before="0" w:after="0"/>
        <w:jc w:val="center"/>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65" w:name="xdx_30F_111_zPAVuAg7IwG4"/>
      <w:bookmarkStart w:id="66" w:name="xdx_30F_111_zPAVuAg7IwG4"/>
      <w:bookmarkEnd w:id="66"/>
    </w:p>
    <w:tbl>
      <w:tblPr>
        <w:tblW w:w="10205" w:type="dxa"/>
        <w:jc w:val="left"/>
        <w:tblInd w:w="0" w:type="dxa"/>
        <w:tblLayout w:type="fixed"/>
        <w:tblCellMar>
          <w:top w:w="0" w:type="dxa"/>
          <w:left w:w="0" w:type="dxa"/>
          <w:bottom w:w="0" w:type="dxa"/>
          <w:right w:w="0" w:type="dxa"/>
        </w:tblCellMar>
      </w:tblPr>
      <w:tblGrid>
        <w:gridCol w:w="7089"/>
        <w:gridCol w:w="60"/>
        <w:gridCol w:w="142"/>
        <w:gridCol w:w="1268"/>
        <w:gridCol w:w="80"/>
        <w:gridCol w:w="60"/>
        <w:gridCol w:w="142"/>
        <w:gridCol w:w="1268"/>
        <w:gridCol w:w="96"/>
      </w:tblGrid>
      <w:tr>
        <w:trPr/>
        <w:tc>
          <w:tcPr>
            <w:tcW w:w="708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7" w:name="xdx_494_20251231_zjIgSjQMeuda"/>
            <w:bookmarkEnd w:id="67"/>
          </w:p>
        </w:tc>
        <w:tc>
          <w:tcPr>
            <w:tcW w:w="14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 w:name="xdx_493_20241231_zyXcQzcCA929"/>
            <w:bookmarkEnd w:id="68"/>
          </w:p>
        </w:tc>
        <w:tc>
          <w:tcPr>
            <w:tcW w:w="14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2024</w:t>
            </w:r>
          </w:p>
        </w:tc>
        <w:tc>
          <w:tcPr>
            <w:tcW w:w="96" w:type="dxa"/>
            <w:tcBorders/>
            <w:vAlign w:val="center"/>
          </w:tcPr>
          <w:p>
            <w:pPr>
              <w:pStyle w:val="TableContents"/>
              <w:bidi w:val="0"/>
              <w:spacing w:before="0" w:after="283"/>
              <w:jc w:val="left"/>
              <w:rPr/>
            </w:pPr>
            <w:r>
              <w:rPr/>
              <w:t> </w:t>
            </w:r>
            <w:bookmarkStart w:id="69" w:name="xdx_404_eus-gaap--AssetsAbstract_iB_z1mc"/>
            <w:bookmarkEnd w:id="69"/>
          </w:p>
        </w:tc>
      </w:tr>
      <w:tr>
        <w:trPr/>
        <w:tc>
          <w:tcPr>
            <w:tcW w:w="7089" w:type="dxa"/>
            <w:tcBorders/>
            <w:shd w:fill="CCEEFF" w:val="clear"/>
            <w:vAlign w:val="center"/>
          </w:tcPr>
          <w:p>
            <w:pPr>
              <w:pStyle w:val="TableContents"/>
              <w:bidi w:val="0"/>
              <w:spacing w:before="0" w:after="283"/>
              <w:jc w:val="center"/>
              <w:rPr>
                <w:sz w:val="20"/>
              </w:rPr>
            </w:pPr>
            <w:r>
              <w:rPr>
                <w:sz w:val="20"/>
              </w:rPr>
              <w:t>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bookmarkStart w:id="70" w:name="xdx_409_eus-gaap--AssetsCurrentAbstract_"/>
            <w:bookmarkEnd w:id="70"/>
          </w:p>
        </w:tc>
      </w:tr>
      <w:tr>
        <w:trPr/>
        <w:tc>
          <w:tcPr>
            <w:tcW w:w="7089" w:type="dxa"/>
            <w:tcBorders/>
            <w:shd w:fill="FFFFFF" w:val="clear"/>
            <w:vAlign w:val="center"/>
          </w:tcPr>
          <w:p>
            <w:pPr>
              <w:pStyle w:val="TableContents"/>
              <w:bidi w:val="0"/>
              <w:spacing w:before="0" w:after="283"/>
              <w:jc w:val="left"/>
              <w:rPr>
                <w:sz w:val="20"/>
              </w:rPr>
            </w:pPr>
            <w:r>
              <w:rPr>
                <w:sz w:val="20"/>
              </w:rPr>
              <w:t>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bookmarkStart w:id="71" w:name="xdx_404_eus-gaap--CashAndCashEquivalents"/>
            <w:bookmarkEnd w:id="71"/>
          </w:p>
        </w:tc>
      </w:tr>
      <w:tr>
        <w:trPr/>
        <w:tc>
          <w:tcPr>
            <w:tcW w:w="7089" w:type="dxa"/>
            <w:tcBorders/>
            <w:shd w:fill="CCEEFF" w:val="clear"/>
            <w:vAlign w:val="center"/>
          </w:tcPr>
          <w:p>
            <w:pPr>
              <w:pStyle w:val="TableContents"/>
              <w:bidi w:val="0"/>
              <w:spacing w:before="0" w:after="283"/>
              <w:jc w:val="left"/>
              <w:rPr>
                <w:sz w:val="20"/>
              </w:rPr>
            </w:pPr>
            <w:r>
              <w:rPr>
                <w:sz w:val="20"/>
              </w:rPr>
              <w:t>Cash</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20"/>
              </w:rPr>
            </w:pPr>
            <w:r>
              <w:rPr>
                <w:sz w:val="20"/>
              </w:rPr>
              <w:t>$</w:t>
            </w:r>
          </w:p>
        </w:tc>
        <w:tc>
          <w:tcPr>
            <w:tcW w:w="1268" w:type="dxa"/>
            <w:tcBorders/>
            <w:shd w:fill="CCEEFF" w:val="clear"/>
            <w:vAlign w:val="center"/>
          </w:tcPr>
          <w:p>
            <w:pPr>
              <w:pStyle w:val="TableContents"/>
              <w:bidi w:val="0"/>
              <w:spacing w:before="0" w:after="283"/>
              <w:jc w:val="right"/>
              <w:rPr>
                <w:sz w:val="20"/>
              </w:rPr>
            </w:pPr>
            <w:r>
              <w:rPr>
                <w:sz w:val="20"/>
              </w:rPr>
              <w:t>171,524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20"/>
              </w:rPr>
            </w:pPr>
            <w:r>
              <w:rPr>
                <w:sz w:val="20"/>
              </w:rPr>
              <w:t>$</w:t>
            </w:r>
          </w:p>
        </w:tc>
        <w:tc>
          <w:tcPr>
            <w:tcW w:w="1268" w:type="dxa"/>
            <w:tcBorders/>
            <w:shd w:fill="CCEEFF" w:val="clear"/>
            <w:vAlign w:val="center"/>
          </w:tcPr>
          <w:p>
            <w:pPr>
              <w:pStyle w:val="TableContents"/>
              <w:bidi w:val="0"/>
              <w:spacing w:before="0" w:after="283"/>
              <w:jc w:val="right"/>
              <w:rPr>
                <w:sz w:val="20"/>
              </w:rPr>
            </w:pPr>
            <w:r>
              <w:rPr>
                <w:sz w:val="20"/>
              </w:rPr>
              <w:t>68,035</w:t>
            </w:r>
          </w:p>
        </w:tc>
        <w:tc>
          <w:tcPr>
            <w:tcW w:w="96" w:type="dxa"/>
            <w:tcBorders/>
            <w:shd w:fill="CCEEFF" w:val="clear"/>
            <w:vAlign w:val="center"/>
          </w:tcPr>
          <w:p>
            <w:pPr>
              <w:pStyle w:val="TableContents"/>
              <w:bidi w:val="0"/>
              <w:spacing w:before="0" w:after="283"/>
              <w:jc w:val="left"/>
              <w:rPr/>
            </w:pPr>
            <w:r>
              <w:rPr/>
              <w:t> </w:t>
            </w:r>
            <w:bookmarkStart w:id="72" w:name="xdx_40D_eus-gaap--RestrictedCash_i02I_ma"/>
            <w:bookmarkEnd w:id="72"/>
          </w:p>
        </w:tc>
      </w:tr>
      <w:tr>
        <w:trPr/>
        <w:tc>
          <w:tcPr>
            <w:tcW w:w="7089" w:type="dxa"/>
            <w:tcBorders/>
            <w:shd w:fill="FFFFFF" w:val="clear"/>
            <w:vAlign w:val="center"/>
          </w:tcPr>
          <w:p>
            <w:pPr>
              <w:pStyle w:val="TableContents"/>
              <w:bidi w:val="0"/>
              <w:spacing w:before="0" w:after="283"/>
              <w:jc w:val="left"/>
              <w:rPr>
                <w:sz w:val="20"/>
              </w:rPr>
            </w:pPr>
            <w:r>
              <w:rPr>
                <w:sz w:val="20"/>
              </w:rPr>
              <w:t>Restricted cash</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sz w:val="20"/>
              </w:rPr>
            </w:pPr>
            <w:r>
              <w:rPr>
                <w:sz w:val="20"/>
              </w:rPr>
              <w:t>-</w:t>
            </w:r>
          </w:p>
        </w:tc>
        <w:tc>
          <w:tcPr>
            <w:tcW w:w="96" w:type="dxa"/>
            <w:tcBorders/>
            <w:shd w:fill="FFFFFF" w:val="clear"/>
            <w:vAlign w:val="center"/>
          </w:tcPr>
          <w:p>
            <w:pPr>
              <w:pStyle w:val="TableContents"/>
              <w:bidi w:val="0"/>
              <w:spacing w:before="0" w:after="283"/>
              <w:jc w:val="left"/>
              <w:rPr/>
            </w:pPr>
            <w:r>
              <w:rPr/>
              <w:t> </w:t>
            </w:r>
            <w:bookmarkStart w:id="73" w:name="xdx_40A_eus-gaap--AccountsReceivableNetC"/>
            <w:bookmarkEnd w:id="73"/>
          </w:p>
        </w:tc>
      </w:tr>
      <w:tr>
        <w:trPr/>
        <w:tc>
          <w:tcPr>
            <w:tcW w:w="7089" w:type="dxa"/>
            <w:tcBorders/>
            <w:shd w:fill="CCEEFF" w:val="clear"/>
            <w:vAlign w:val="center"/>
          </w:tcPr>
          <w:p>
            <w:pPr>
              <w:pStyle w:val="TableContents"/>
              <w:bidi w:val="0"/>
              <w:spacing w:before="0" w:after="283"/>
              <w:jc w:val="left"/>
              <w:rPr>
                <w:sz w:val="20"/>
              </w:rPr>
            </w:pPr>
            <w:r>
              <w:rPr>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sz w:val="20"/>
              </w:rPr>
            </w:pPr>
            <w:r>
              <w:rPr>
                <w:sz w:val="20"/>
              </w:rPr>
              <w:t>231,259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sz w:val="20"/>
              </w:rPr>
            </w:pPr>
            <w:r>
              <w:rPr>
                <w:sz w:val="20"/>
              </w:rPr>
              <w:t>494,129</w:t>
            </w:r>
          </w:p>
        </w:tc>
        <w:tc>
          <w:tcPr>
            <w:tcW w:w="96" w:type="dxa"/>
            <w:tcBorders/>
            <w:shd w:fill="CCEEFF" w:val="clear"/>
            <w:vAlign w:val="center"/>
          </w:tcPr>
          <w:p>
            <w:pPr>
              <w:pStyle w:val="TableContents"/>
              <w:bidi w:val="0"/>
              <w:spacing w:before="0" w:after="283"/>
              <w:jc w:val="left"/>
              <w:rPr/>
            </w:pPr>
            <w:r>
              <w:rPr/>
              <w:t> </w:t>
            </w:r>
            <w:bookmarkStart w:id="74" w:name="xdx_409_eus-gaap--PrepaidExpenseCurrent_"/>
            <w:bookmarkEnd w:id="74"/>
          </w:p>
        </w:tc>
      </w:tr>
      <w:tr>
        <w:trPr/>
        <w:tc>
          <w:tcPr>
            <w:tcW w:w="7089" w:type="dxa"/>
            <w:tcBorders/>
            <w:shd w:fill="FFFFFF" w:val="clear"/>
            <w:vAlign w:val="center"/>
          </w:tcPr>
          <w:p>
            <w:pPr>
              <w:pStyle w:val="TableContents"/>
              <w:bidi w:val="0"/>
              <w:spacing w:before="0" w:after="283"/>
              <w:jc w:val="left"/>
              <w:rPr>
                <w:sz w:val="20"/>
              </w:rPr>
            </w:pPr>
            <w:r>
              <w:rPr>
                <w:sz w:val="20"/>
              </w:rPr>
              <w:t>Prepaid expenses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sz w:val="20"/>
              </w:rPr>
            </w:pPr>
            <w:r>
              <w:rPr>
                <w:sz w:val="20"/>
              </w:rPr>
              <w:t>8,634,275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sz w:val="20"/>
              </w:rPr>
            </w:pPr>
            <w:r>
              <w:rPr>
                <w:sz w:val="20"/>
              </w:rPr>
              <w:t>14,449,333</w:t>
            </w:r>
          </w:p>
        </w:tc>
        <w:tc>
          <w:tcPr>
            <w:tcW w:w="96" w:type="dxa"/>
            <w:tcBorders/>
            <w:shd w:fill="FFFFFF" w:val="clear"/>
            <w:vAlign w:val="center"/>
          </w:tcPr>
          <w:p>
            <w:pPr>
              <w:pStyle w:val="TableContents"/>
              <w:bidi w:val="0"/>
              <w:spacing w:before="0" w:after="283"/>
              <w:jc w:val="left"/>
              <w:rPr/>
            </w:pPr>
            <w:r>
              <w:rPr/>
              <w:t> </w:t>
            </w:r>
            <w:bookmarkStart w:id="75" w:name="xdx_408_eus-gaap--OtherAssetsCurrent_i02"/>
            <w:bookmarkEnd w:id="75"/>
          </w:p>
        </w:tc>
      </w:tr>
      <w:tr>
        <w:trPr/>
        <w:tc>
          <w:tcPr>
            <w:tcW w:w="7089" w:type="dxa"/>
            <w:tcBorders/>
            <w:shd w:fill="CCEEFF" w:val="clear"/>
            <w:vAlign w:val="center"/>
          </w:tcPr>
          <w:p>
            <w:pPr>
              <w:pStyle w:val="TableContents"/>
              <w:bidi w:val="0"/>
              <w:spacing w:before="0" w:after="283"/>
              <w:jc w:val="left"/>
              <w:rPr>
                <w:sz w:val="20"/>
              </w:rPr>
            </w:pPr>
            <w:r>
              <w:rPr>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3,843,228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880,961</w:t>
            </w:r>
          </w:p>
        </w:tc>
        <w:tc>
          <w:tcPr>
            <w:tcW w:w="96" w:type="dxa"/>
            <w:tcBorders/>
            <w:shd w:fill="CCEEFF" w:val="clear"/>
            <w:vAlign w:val="center"/>
          </w:tcPr>
          <w:p>
            <w:pPr>
              <w:pStyle w:val="TableContents"/>
              <w:bidi w:val="0"/>
              <w:spacing w:before="0" w:after="283"/>
              <w:jc w:val="left"/>
              <w:rPr/>
            </w:pPr>
            <w:r>
              <w:rPr/>
              <w:t> </w:t>
            </w:r>
            <w:bookmarkStart w:id="76" w:name="xdx_40B_eus-gaap--AssetsCurrent_i02TI_mt"/>
            <w:bookmarkEnd w:id="76"/>
          </w:p>
        </w:tc>
      </w:tr>
      <w:tr>
        <w:trPr/>
        <w:tc>
          <w:tcPr>
            <w:tcW w:w="7089" w:type="dxa"/>
            <w:tcBorders/>
            <w:shd w:fill="FFFFFF" w:val="clear"/>
            <w:vAlign w:val="center"/>
          </w:tcPr>
          <w:p>
            <w:pPr>
              <w:pStyle w:val="TableContents"/>
              <w:bidi w:val="0"/>
              <w:spacing w:before="0" w:after="283"/>
              <w:jc w:val="left"/>
              <w:rPr>
                <w:sz w:val="20"/>
              </w:rPr>
            </w:pPr>
            <w:r>
              <w:rPr>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12,880,286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15,892,458</w:t>
            </w:r>
          </w:p>
        </w:tc>
        <w:tc>
          <w:tcPr>
            <w:tcW w:w="96" w:type="dxa"/>
            <w:tcBorders/>
            <w:shd w:fill="FFFFFF" w:val="clear"/>
            <w:vAlign w:val="center"/>
          </w:tcPr>
          <w:p>
            <w:pPr>
              <w:pStyle w:val="TableContents"/>
              <w:bidi w:val="0"/>
              <w:spacing w:before="0" w:after="283"/>
              <w:jc w:val="left"/>
              <w:rPr/>
            </w:pPr>
            <w:r>
              <w:rPr/>
              <w:t> </w:t>
            </w:r>
          </w:p>
        </w:tc>
      </w:tr>
      <w:tr>
        <w:trPr/>
        <w:tc>
          <w:tcPr>
            <w:tcW w:w="70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bookmarkStart w:id="77" w:name="xdx_405_eus-gaap--LongTermAccountsNotesA"/>
            <w:bookmarkEnd w:id="77"/>
          </w:p>
        </w:tc>
      </w:tr>
      <w:tr>
        <w:trPr/>
        <w:tc>
          <w:tcPr>
            <w:tcW w:w="7089" w:type="dxa"/>
            <w:tcBorders/>
            <w:shd w:fill="FFFFFF" w:val="clear"/>
            <w:vAlign w:val="center"/>
          </w:tcPr>
          <w:p>
            <w:pPr>
              <w:pStyle w:val="TableContents"/>
              <w:bidi w:val="0"/>
              <w:spacing w:before="0" w:after="283"/>
              <w:jc w:val="left"/>
              <w:rPr>
                <w:sz w:val="20"/>
              </w:rPr>
            </w:pPr>
            <w:r>
              <w:rPr>
                <w:sz w:val="20"/>
              </w:rPr>
              <w:t>Notes receivable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sz w:val="20"/>
              </w:rPr>
            </w:pPr>
            <w:r>
              <w:rPr>
                <w:sz w:val="20"/>
              </w:rPr>
              <w:t>2,000,000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sz w:val="20"/>
              </w:rPr>
            </w:pPr>
            <w:r>
              <w:rPr>
                <w:sz w:val="20"/>
              </w:rPr>
              <w:t>2,250,000</w:t>
            </w:r>
          </w:p>
        </w:tc>
        <w:tc>
          <w:tcPr>
            <w:tcW w:w="96" w:type="dxa"/>
            <w:tcBorders/>
            <w:shd w:fill="FFFFFF" w:val="clear"/>
            <w:vAlign w:val="center"/>
          </w:tcPr>
          <w:p>
            <w:pPr>
              <w:pStyle w:val="TableContents"/>
              <w:bidi w:val="0"/>
              <w:spacing w:before="0" w:after="283"/>
              <w:jc w:val="left"/>
              <w:rPr/>
            </w:pPr>
            <w:r>
              <w:rPr/>
              <w:t> </w:t>
            </w:r>
            <w:bookmarkStart w:id="78" w:name="xdx_401_eus-gaap--Investments_i01I_maCzq"/>
            <w:bookmarkEnd w:id="78"/>
          </w:p>
        </w:tc>
      </w:tr>
      <w:tr>
        <w:trPr/>
        <w:tc>
          <w:tcPr>
            <w:tcW w:w="7089" w:type="dxa"/>
            <w:tcBorders/>
            <w:shd w:fill="CCEEFF" w:val="clear"/>
            <w:vAlign w:val="center"/>
          </w:tcPr>
          <w:p>
            <w:pPr>
              <w:pStyle w:val="TableContents"/>
              <w:bidi w:val="0"/>
              <w:spacing w:before="0" w:after="283"/>
              <w:jc w:val="left"/>
              <w:rPr>
                <w:sz w:val="20"/>
              </w:rPr>
            </w:pPr>
            <w:r>
              <w:rPr>
                <w:sz w:val="20"/>
              </w:rPr>
              <w:t>Investments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sz w:val="20"/>
              </w:rPr>
            </w:pPr>
            <w:r>
              <w:rPr>
                <w:sz w:val="20"/>
              </w:rPr>
              <w:t>250,000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sz w:val="20"/>
              </w:rPr>
            </w:pPr>
            <w:r>
              <w:rPr>
                <w:sz w:val="20"/>
              </w:rPr>
              <w:t>250,000</w:t>
            </w:r>
          </w:p>
        </w:tc>
        <w:tc>
          <w:tcPr>
            <w:tcW w:w="96" w:type="dxa"/>
            <w:tcBorders/>
            <w:shd w:fill="CCEEFF" w:val="clear"/>
            <w:vAlign w:val="center"/>
          </w:tcPr>
          <w:p>
            <w:pPr>
              <w:pStyle w:val="TableContents"/>
              <w:bidi w:val="0"/>
              <w:spacing w:before="0" w:after="283"/>
              <w:jc w:val="left"/>
              <w:rPr/>
            </w:pPr>
            <w:r>
              <w:rPr/>
              <w:t> </w:t>
            </w:r>
            <w:bookmarkStart w:id="79" w:name="xdx_406_eus-gaap--Goodwill_i01I_maCzqqZ_"/>
            <w:bookmarkEnd w:id="79"/>
          </w:p>
        </w:tc>
      </w:tr>
      <w:tr>
        <w:trPr/>
        <w:tc>
          <w:tcPr>
            <w:tcW w:w="7089" w:type="dxa"/>
            <w:tcBorders/>
            <w:shd w:fill="FFFFFF" w:val="clear"/>
            <w:vAlign w:val="center"/>
          </w:tcPr>
          <w:p>
            <w:pPr>
              <w:pStyle w:val="TableContents"/>
              <w:bidi w:val="0"/>
              <w:spacing w:before="0" w:after="283"/>
              <w:jc w:val="left"/>
              <w:rPr>
                <w:sz w:val="20"/>
              </w:rPr>
            </w:pPr>
            <w:r>
              <w:rPr>
                <w:sz w:val="20"/>
              </w:rPr>
              <w:t>Goodwill</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sz w:val="20"/>
              </w:rPr>
            </w:pPr>
            <w:r>
              <w:rPr>
                <w:sz w:val="20"/>
              </w:rPr>
              <w:t>9,061,675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sz w:val="20"/>
              </w:rPr>
            </w:pPr>
            <w:r>
              <w:rPr>
                <w:sz w:val="20"/>
              </w:rPr>
              <w:t>9,061,675</w:t>
            </w:r>
          </w:p>
        </w:tc>
        <w:tc>
          <w:tcPr>
            <w:tcW w:w="96" w:type="dxa"/>
            <w:tcBorders/>
            <w:shd w:fill="FFFFFF" w:val="clear"/>
            <w:vAlign w:val="center"/>
          </w:tcPr>
          <w:p>
            <w:pPr>
              <w:pStyle w:val="TableContents"/>
              <w:bidi w:val="0"/>
              <w:spacing w:before="0" w:after="283"/>
              <w:jc w:val="left"/>
              <w:rPr/>
            </w:pPr>
            <w:r>
              <w:rPr/>
              <w:t> </w:t>
            </w:r>
            <w:bookmarkStart w:id="80" w:name="xdx_40E_eus-gaap--IntangibleAssetsNetExc"/>
            <w:bookmarkEnd w:id="80"/>
          </w:p>
        </w:tc>
      </w:tr>
      <w:tr>
        <w:trPr/>
        <w:tc>
          <w:tcPr>
            <w:tcW w:w="7089" w:type="dxa"/>
            <w:tcBorders/>
            <w:shd w:fill="CCEEFF" w:val="clear"/>
            <w:vAlign w:val="center"/>
          </w:tcPr>
          <w:p>
            <w:pPr>
              <w:pStyle w:val="TableContents"/>
              <w:bidi w:val="0"/>
              <w:spacing w:before="0" w:after="283"/>
              <w:jc w:val="left"/>
              <w:rPr>
                <w:sz w:val="20"/>
              </w:rPr>
            </w:pPr>
            <w:r>
              <w:rPr>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sz w:val="20"/>
              </w:rPr>
            </w:pPr>
            <w:r>
              <w:rPr>
                <w:sz w:val="20"/>
              </w:rPr>
              <w:t>14,648,458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sz w:val="20"/>
              </w:rPr>
            </w:pPr>
            <w:r>
              <w:rPr>
                <w:sz w:val="20"/>
              </w:rPr>
              <w:t>12,569,165</w:t>
            </w:r>
          </w:p>
        </w:tc>
        <w:tc>
          <w:tcPr>
            <w:tcW w:w="96" w:type="dxa"/>
            <w:tcBorders/>
            <w:shd w:fill="CCEEFF" w:val="clear"/>
            <w:vAlign w:val="center"/>
          </w:tcPr>
          <w:p>
            <w:pPr>
              <w:pStyle w:val="TableContents"/>
              <w:bidi w:val="0"/>
              <w:spacing w:before="0" w:after="283"/>
              <w:jc w:val="left"/>
              <w:rPr/>
            </w:pPr>
            <w:r>
              <w:rPr/>
              <w:t> </w:t>
            </w:r>
            <w:bookmarkStart w:id="81" w:name="xdx_40B_eus-gaap--PropertyPlantAndEquipm"/>
            <w:bookmarkEnd w:id="81"/>
          </w:p>
        </w:tc>
      </w:tr>
      <w:tr>
        <w:trPr/>
        <w:tc>
          <w:tcPr>
            <w:tcW w:w="7089" w:type="dxa"/>
            <w:tcBorders/>
            <w:shd w:fill="FFFFFF" w:val="clear"/>
            <w:vAlign w:val="center"/>
          </w:tcPr>
          <w:p>
            <w:pPr>
              <w:pStyle w:val="TableContents"/>
              <w:bidi w:val="0"/>
              <w:spacing w:before="0" w:after="283"/>
              <w:jc w:val="left"/>
              <w:rPr>
                <w:sz w:val="20"/>
              </w:rPr>
            </w:pPr>
            <w:r>
              <w:rPr>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sz w:val="20"/>
              </w:rPr>
            </w:pPr>
            <w:r>
              <w:rPr>
                <w:sz w:val="20"/>
              </w:rPr>
              <w:t>1,095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sz w:val="20"/>
              </w:rPr>
            </w:pPr>
            <w:r>
              <w:rPr>
                <w:sz w:val="20"/>
              </w:rPr>
              <w:t>12,124</w:t>
            </w:r>
          </w:p>
        </w:tc>
        <w:tc>
          <w:tcPr>
            <w:tcW w:w="96" w:type="dxa"/>
            <w:tcBorders/>
            <w:shd w:fill="FFFFFF" w:val="clear"/>
            <w:vAlign w:val="center"/>
          </w:tcPr>
          <w:p>
            <w:pPr>
              <w:pStyle w:val="TableContents"/>
              <w:bidi w:val="0"/>
              <w:spacing w:before="0" w:after="283"/>
              <w:jc w:val="left"/>
              <w:rPr/>
            </w:pPr>
            <w:r>
              <w:rPr/>
              <w:t> </w:t>
            </w:r>
            <w:bookmarkStart w:id="82" w:name="xdx_400_eus-gaap--OtherAssetsNoncurrent_"/>
            <w:bookmarkEnd w:id="82"/>
          </w:p>
        </w:tc>
      </w:tr>
      <w:tr>
        <w:trPr/>
        <w:tc>
          <w:tcPr>
            <w:tcW w:w="7089" w:type="dxa"/>
            <w:tcBorders/>
            <w:shd w:fill="CCEEFF" w:val="clear"/>
            <w:vAlign w:val="center"/>
          </w:tcPr>
          <w:p>
            <w:pPr>
              <w:pStyle w:val="TableContents"/>
              <w:bidi w:val="0"/>
              <w:spacing w:before="0" w:after="283"/>
              <w:jc w:val="left"/>
              <w:rPr>
                <w:sz w:val="20"/>
              </w:rPr>
            </w:pPr>
            <w:r>
              <w:rPr>
                <w:sz w:val="20"/>
              </w:rPr>
              <w:t>Other long-term assets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16,818,711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12,906,849</w:t>
            </w:r>
          </w:p>
        </w:tc>
        <w:tc>
          <w:tcPr>
            <w:tcW w:w="96" w:type="dxa"/>
            <w:tcBorders/>
            <w:shd w:fill="CCEEFF" w:val="clear"/>
            <w:vAlign w:val="center"/>
          </w:tcPr>
          <w:p>
            <w:pPr>
              <w:pStyle w:val="TableContents"/>
              <w:bidi w:val="0"/>
              <w:spacing w:before="0" w:after="283"/>
              <w:jc w:val="left"/>
              <w:rPr/>
            </w:pPr>
            <w:r>
              <w:rPr/>
              <w:t> </w:t>
            </w:r>
            <w:bookmarkStart w:id="83" w:name="xdx_400_eus-gaap--Assets_i01TI_mtCzqqZ_z"/>
            <w:bookmarkEnd w:id="83"/>
          </w:p>
        </w:tc>
      </w:tr>
      <w:tr>
        <w:trPr/>
        <w:tc>
          <w:tcPr>
            <w:tcW w:w="7089" w:type="dxa"/>
            <w:tcBorders/>
            <w:shd w:fill="FFFFFF" w:val="clear"/>
            <w:vAlign w:val="center"/>
          </w:tcPr>
          <w:p>
            <w:pPr>
              <w:pStyle w:val="TableContents"/>
              <w:bidi w:val="0"/>
              <w:spacing w:before="0" w:after="283"/>
              <w:jc w:val="left"/>
              <w:rPr>
                <w:sz w:val="20"/>
              </w:rPr>
            </w:pPr>
            <w:r>
              <w:rPr>
                <w:sz w:val="20"/>
              </w:rPr>
              <w:t>Total assets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55,660,225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52,942,271</w:t>
            </w:r>
          </w:p>
        </w:tc>
        <w:tc>
          <w:tcPr>
            <w:tcW w:w="96" w:type="dxa"/>
            <w:tcBorders/>
            <w:shd w:fill="FFFFFF" w:val="clear"/>
            <w:vAlign w:val="center"/>
          </w:tcPr>
          <w:p>
            <w:pPr>
              <w:pStyle w:val="TableContents"/>
              <w:bidi w:val="0"/>
              <w:spacing w:before="0" w:after="283"/>
              <w:jc w:val="left"/>
              <w:rPr/>
            </w:pPr>
            <w:r>
              <w:rPr/>
              <w:t> </w:t>
            </w:r>
          </w:p>
        </w:tc>
      </w:tr>
      <w:tr>
        <w:trPr/>
        <w:tc>
          <w:tcPr>
            <w:tcW w:w="70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bookmarkStart w:id="84" w:name="xdx_40C_eus-gaap--LiabilitiesAndStockhol"/>
            <w:bookmarkEnd w:id="84"/>
          </w:p>
        </w:tc>
      </w:tr>
      <w:tr>
        <w:trPr/>
        <w:tc>
          <w:tcPr>
            <w:tcW w:w="7089" w:type="dxa"/>
            <w:tcBorders/>
            <w:shd w:fill="FFFFFF" w:val="clear"/>
            <w:vAlign w:val="center"/>
          </w:tcPr>
          <w:p>
            <w:pPr>
              <w:pStyle w:val="TableContents"/>
              <w:bidi w:val="0"/>
              <w:spacing w:before="0" w:after="283"/>
              <w:jc w:val="center"/>
              <w:rPr>
                <w:sz w:val="20"/>
              </w:rPr>
            </w:pPr>
            <w:r>
              <w:rPr>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70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bookmarkStart w:id="85" w:name="xdx_403_eus-gaap--LiabilitiesCurrentAbst"/>
            <w:bookmarkEnd w:id="85"/>
          </w:p>
        </w:tc>
      </w:tr>
      <w:tr>
        <w:trPr/>
        <w:tc>
          <w:tcPr>
            <w:tcW w:w="7089" w:type="dxa"/>
            <w:tcBorders/>
            <w:shd w:fill="FFFFFF" w:val="clear"/>
            <w:vAlign w:val="center"/>
          </w:tcPr>
          <w:p>
            <w:pPr>
              <w:pStyle w:val="TableContents"/>
              <w:bidi w:val="0"/>
              <w:spacing w:before="0" w:after="283"/>
              <w:jc w:val="left"/>
              <w:rPr>
                <w:sz w:val="20"/>
              </w:rPr>
            </w:pPr>
            <w:r>
              <w:rPr>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bookmarkStart w:id="86" w:name="xdx_40F_eus-gaap--AccountsPayableTradeCu"/>
            <w:bookmarkEnd w:id="86"/>
          </w:p>
        </w:tc>
      </w:tr>
      <w:tr>
        <w:trPr/>
        <w:tc>
          <w:tcPr>
            <w:tcW w:w="7089" w:type="dxa"/>
            <w:tcBorders/>
            <w:shd w:fill="CCEEFF" w:val="clear"/>
            <w:vAlign w:val="center"/>
          </w:tcPr>
          <w:p>
            <w:pPr>
              <w:pStyle w:val="TableContents"/>
              <w:bidi w:val="0"/>
              <w:spacing w:before="0" w:after="283"/>
              <w:jc w:val="left"/>
              <w:rPr>
                <w:sz w:val="20"/>
              </w:rPr>
            </w:pPr>
            <w:r>
              <w:rPr>
                <w:sz w:val="20"/>
              </w:rPr>
              <w:t>Trade payables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20"/>
              </w:rPr>
            </w:pPr>
            <w:r>
              <w:rPr>
                <w:sz w:val="20"/>
              </w:rPr>
              <w:t>$</w:t>
            </w:r>
          </w:p>
        </w:tc>
        <w:tc>
          <w:tcPr>
            <w:tcW w:w="1268" w:type="dxa"/>
            <w:tcBorders/>
            <w:shd w:fill="CCEEFF" w:val="clear"/>
            <w:vAlign w:val="center"/>
          </w:tcPr>
          <w:p>
            <w:pPr>
              <w:pStyle w:val="TableContents"/>
              <w:bidi w:val="0"/>
              <w:spacing w:before="0" w:after="283"/>
              <w:jc w:val="right"/>
              <w:rPr>
                <w:sz w:val="20"/>
              </w:rPr>
            </w:pPr>
            <w:r>
              <w:rPr>
                <w:sz w:val="20"/>
              </w:rPr>
              <w:t>8,556,029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20"/>
              </w:rPr>
            </w:pPr>
            <w:r>
              <w:rPr>
                <w:sz w:val="20"/>
              </w:rPr>
              <w:t>$</w:t>
            </w:r>
          </w:p>
        </w:tc>
        <w:tc>
          <w:tcPr>
            <w:tcW w:w="1268" w:type="dxa"/>
            <w:tcBorders/>
            <w:shd w:fill="CCEEFF" w:val="clear"/>
            <w:vAlign w:val="center"/>
          </w:tcPr>
          <w:p>
            <w:pPr>
              <w:pStyle w:val="TableContents"/>
              <w:bidi w:val="0"/>
              <w:spacing w:before="0" w:after="283"/>
              <w:jc w:val="right"/>
              <w:rPr>
                <w:sz w:val="20"/>
              </w:rPr>
            </w:pPr>
            <w:r>
              <w:rPr>
                <w:sz w:val="20"/>
              </w:rPr>
              <w:t>8,241,311</w:t>
            </w:r>
          </w:p>
        </w:tc>
        <w:tc>
          <w:tcPr>
            <w:tcW w:w="96" w:type="dxa"/>
            <w:tcBorders/>
            <w:shd w:fill="CCEEFF" w:val="clear"/>
            <w:vAlign w:val="center"/>
          </w:tcPr>
          <w:p>
            <w:pPr>
              <w:pStyle w:val="TableContents"/>
              <w:bidi w:val="0"/>
              <w:spacing w:before="0" w:after="283"/>
              <w:jc w:val="left"/>
              <w:rPr/>
            </w:pPr>
            <w:r>
              <w:rPr/>
              <w:t> </w:t>
            </w:r>
            <w:bookmarkStart w:id="87" w:name="xdx_40A_eus-gaap--DeferredRevenueCurrent"/>
            <w:bookmarkEnd w:id="87"/>
          </w:p>
        </w:tc>
      </w:tr>
      <w:tr>
        <w:trPr/>
        <w:tc>
          <w:tcPr>
            <w:tcW w:w="7089" w:type="dxa"/>
            <w:tcBorders/>
            <w:shd w:fill="FFFFFF" w:val="clear"/>
            <w:vAlign w:val="center"/>
          </w:tcPr>
          <w:p>
            <w:pPr>
              <w:pStyle w:val="TableContents"/>
              <w:bidi w:val="0"/>
              <w:spacing w:before="0" w:after="283"/>
              <w:jc w:val="left"/>
              <w:rPr>
                <w:sz w:val="20"/>
              </w:rPr>
            </w:pPr>
            <w:r>
              <w:rPr>
                <w:sz w:val="20"/>
              </w:rPr>
              <w:t>Deferred revenue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sz w:val="20"/>
              </w:rPr>
            </w:pPr>
            <w:r>
              <w:rPr>
                <w:sz w:val="20"/>
              </w:rPr>
              <w:t>21,990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sz w:val="20"/>
              </w:rPr>
            </w:pPr>
            <w:r>
              <w:rPr>
                <w:sz w:val="20"/>
              </w:rPr>
              <w:t>250,000</w:t>
            </w:r>
          </w:p>
        </w:tc>
        <w:tc>
          <w:tcPr>
            <w:tcW w:w="96" w:type="dxa"/>
            <w:tcBorders/>
            <w:shd w:fill="FFFFFF" w:val="clear"/>
            <w:vAlign w:val="center"/>
          </w:tcPr>
          <w:p>
            <w:pPr>
              <w:pStyle w:val="TableContents"/>
              <w:bidi w:val="0"/>
              <w:spacing w:before="0" w:after="283"/>
              <w:jc w:val="left"/>
              <w:rPr/>
            </w:pPr>
            <w:r>
              <w:rPr/>
              <w:t> </w:t>
            </w:r>
            <w:bookmarkStart w:id="88" w:name="xdx_40D_eus-gaap--NotesPayableCurrent_i0"/>
            <w:bookmarkEnd w:id="88"/>
          </w:p>
        </w:tc>
      </w:tr>
      <w:tr>
        <w:trPr/>
        <w:tc>
          <w:tcPr>
            <w:tcW w:w="7089" w:type="dxa"/>
            <w:tcBorders/>
            <w:shd w:fill="CCEEFF" w:val="clear"/>
            <w:vAlign w:val="center"/>
          </w:tcPr>
          <w:p>
            <w:pPr>
              <w:pStyle w:val="TableContents"/>
              <w:bidi w:val="0"/>
              <w:spacing w:before="0" w:after="283"/>
              <w:jc w:val="left"/>
              <w:rPr>
                <w:sz w:val="20"/>
              </w:rPr>
            </w:pPr>
            <w:r>
              <w:rPr>
                <w:sz w:val="20"/>
              </w:rPr>
              <w:t>Notes payable - current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sz w:val="20"/>
              </w:rPr>
            </w:pPr>
            <w:r>
              <w:rPr>
                <w:sz w:val="20"/>
              </w:rPr>
              <w:t>6,186,163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sz w:val="20"/>
              </w:rPr>
            </w:pPr>
            <w:r>
              <w:rPr>
                <w:sz w:val="20"/>
              </w:rPr>
              <w:t>6,110,777</w:t>
            </w:r>
          </w:p>
        </w:tc>
        <w:tc>
          <w:tcPr>
            <w:tcW w:w="96" w:type="dxa"/>
            <w:tcBorders/>
            <w:shd w:fill="CCEEFF" w:val="clear"/>
            <w:vAlign w:val="center"/>
          </w:tcPr>
          <w:p>
            <w:pPr>
              <w:pStyle w:val="TableContents"/>
              <w:bidi w:val="0"/>
              <w:spacing w:before="0" w:after="283"/>
              <w:jc w:val="left"/>
              <w:rPr/>
            </w:pPr>
            <w:r>
              <w:rPr/>
              <w:t> </w:t>
            </w:r>
            <w:bookmarkStart w:id="89" w:name="xdx_40F_eus-gaap--InterestPayableCurrent"/>
            <w:bookmarkEnd w:id="89"/>
          </w:p>
        </w:tc>
      </w:tr>
      <w:tr>
        <w:trPr/>
        <w:tc>
          <w:tcPr>
            <w:tcW w:w="7089" w:type="dxa"/>
            <w:tcBorders/>
            <w:shd w:fill="FFFFFF" w:val="clear"/>
            <w:vAlign w:val="center"/>
          </w:tcPr>
          <w:p>
            <w:pPr>
              <w:pStyle w:val="TableContents"/>
              <w:bidi w:val="0"/>
              <w:spacing w:before="0" w:after="283"/>
              <w:jc w:val="left"/>
              <w:rPr>
                <w:sz w:val="20"/>
              </w:rPr>
            </w:pPr>
            <w:r>
              <w:rPr>
                <w:sz w:val="20"/>
              </w:rPr>
              <w:t>Accrued interest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sz w:val="20"/>
              </w:rPr>
            </w:pPr>
            <w:r>
              <w:rPr>
                <w:sz w:val="20"/>
              </w:rPr>
              <w:t>1,557,032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sz w:val="20"/>
              </w:rPr>
            </w:pPr>
            <w:r>
              <w:rPr>
                <w:sz w:val="20"/>
              </w:rPr>
              <w:t>1,218,864</w:t>
            </w:r>
          </w:p>
        </w:tc>
        <w:tc>
          <w:tcPr>
            <w:tcW w:w="96" w:type="dxa"/>
            <w:tcBorders/>
            <w:shd w:fill="FFFFFF" w:val="clear"/>
            <w:vAlign w:val="center"/>
          </w:tcPr>
          <w:p>
            <w:pPr>
              <w:pStyle w:val="TableContents"/>
              <w:bidi w:val="0"/>
              <w:spacing w:before="0" w:after="283"/>
              <w:jc w:val="left"/>
              <w:rPr/>
            </w:pPr>
            <w:r>
              <w:rPr/>
              <w:t> </w:t>
            </w:r>
            <w:bookmarkStart w:id="90" w:name="xdx_40E_eus-gaap--AccruedLiabilitiesAndO"/>
            <w:bookmarkEnd w:id="90"/>
          </w:p>
        </w:tc>
      </w:tr>
      <w:tr>
        <w:trPr/>
        <w:tc>
          <w:tcPr>
            <w:tcW w:w="7089" w:type="dxa"/>
            <w:tcBorders/>
            <w:shd w:fill="CCEEFF" w:val="clear"/>
            <w:vAlign w:val="center"/>
          </w:tcPr>
          <w:p>
            <w:pPr>
              <w:pStyle w:val="TableContents"/>
              <w:bidi w:val="0"/>
              <w:spacing w:before="0" w:after="283"/>
              <w:jc w:val="left"/>
              <w:rPr>
                <w:sz w:val="20"/>
              </w:rPr>
            </w:pPr>
            <w:r>
              <w:rPr>
                <w:sz w:val="20"/>
              </w:rPr>
              <w:t>Accrued and other expenses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sz w:val="20"/>
              </w:rPr>
            </w:pPr>
            <w:r>
              <w:rPr>
                <w:sz w:val="20"/>
              </w:rPr>
              <w:t>13,512,607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sz w:val="20"/>
              </w:rPr>
            </w:pPr>
            <w:r>
              <w:rPr>
                <w:sz w:val="20"/>
              </w:rPr>
              <w:t>12,161,311</w:t>
            </w:r>
          </w:p>
        </w:tc>
        <w:tc>
          <w:tcPr>
            <w:tcW w:w="96" w:type="dxa"/>
            <w:tcBorders/>
            <w:shd w:fill="CCEEFF" w:val="clear"/>
            <w:vAlign w:val="center"/>
          </w:tcPr>
          <w:p>
            <w:pPr>
              <w:pStyle w:val="TableContents"/>
              <w:bidi w:val="0"/>
              <w:spacing w:before="0" w:after="283"/>
              <w:jc w:val="left"/>
              <w:rPr/>
            </w:pPr>
            <w:r>
              <w:rPr/>
              <w:t> </w:t>
            </w:r>
            <w:bookmarkStart w:id="91" w:name="xdx_401_eus-gaap--OtherLiabilitiesCurren"/>
            <w:bookmarkEnd w:id="91"/>
          </w:p>
        </w:tc>
      </w:tr>
      <w:tr>
        <w:trPr/>
        <w:tc>
          <w:tcPr>
            <w:tcW w:w="7089" w:type="dxa"/>
            <w:tcBorders/>
            <w:shd w:fill="FFFFFF" w:val="clear"/>
            <w:vAlign w:val="center"/>
          </w:tcPr>
          <w:p>
            <w:pPr>
              <w:pStyle w:val="TableContents"/>
              <w:bidi w:val="0"/>
              <w:spacing w:before="0" w:after="283"/>
              <w:jc w:val="left"/>
              <w:rPr>
                <w:sz w:val="20"/>
              </w:rPr>
            </w:pPr>
            <w:r>
              <w:rPr>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2,065,537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2,415,179</w:t>
            </w:r>
          </w:p>
        </w:tc>
        <w:tc>
          <w:tcPr>
            <w:tcW w:w="96" w:type="dxa"/>
            <w:tcBorders/>
            <w:shd w:fill="FFFFFF" w:val="clear"/>
            <w:vAlign w:val="center"/>
          </w:tcPr>
          <w:p>
            <w:pPr>
              <w:pStyle w:val="TableContents"/>
              <w:bidi w:val="0"/>
              <w:spacing w:before="0" w:after="283"/>
              <w:jc w:val="left"/>
              <w:rPr/>
            </w:pPr>
            <w:r>
              <w:rPr/>
              <w:t> </w:t>
            </w:r>
            <w:bookmarkStart w:id="92" w:name="xdx_40F_eus-gaap--LiabilitiesCurrent_i02"/>
            <w:bookmarkEnd w:id="92"/>
          </w:p>
        </w:tc>
      </w:tr>
      <w:tr>
        <w:trPr/>
        <w:tc>
          <w:tcPr>
            <w:tcW w:w="7089" w:type="dxa"/>
            <w:tcBorders/>
            <w:shd w:fill="CCEEFF" w:val="clear"/>
            <w:vAlign w:val="center"/>
          </w:tcPr>
          <w:p>
            <w:pPr>
              <w:pStyle w:val="TableContents"/>
              <w:bidi w:val="0"/>
              <w:spacing w:before="0" w:after="283"/>
              <w:jc w:val="left"/>
              <w:rPr>
                <w:sz w:val="20"/>
              </w:rPr>
            </w:pPr>
            <w:r>
              <w:rPr>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31,899,358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30,397,442</w:t>
            </w:r>
          </w:p>
        </w:tc>
        <w:tc>
          <w:tcPr>
            <w:tcW w:w="96" w:type="dxa"/>
            <w:tcBorders/>
            <w:shd w:fill="CCEEFF" w:val="clear"/>
            <w:vAlign w:val="center"/>
          </w:tcPr>
          <w:p>
            <w:pPr>
              <w:pStyle w:val="TableContents"/>
              <w:bidi w:val="0"/>
              <w:spacing w:before="0" w:after="283"/>
              <w:jc w:val="left"/>
              <w:rPr/>
            </w:pPr>
            <w:r>
              <w:rPr/>
              <w:t> </w:t>
            </w:r>
          </w:p>
        </w:tc>
      </w:tr>
      <w:tr>
        <w:trPr/>
        <w:tc>
          <w:tcPr>
            <w:tcW w:w="70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bookmarkStart w:id="93" w:name="xdx_405_eus-gaap--LiabilitiesNoncurrentA"/>
            <w:bookmarkEnd w:id="93"/>
          </w:p>
        </w:tc>
      </w:tr>
      <w:tr>
        <w:trPr/>
        <w:tc>
          <w:tcPr>
            <w:tcW w:w="7089" w:type="dxa"/>
            <w:tcBorders/>
            <w:shd w:fill="CCEEFF" w:val="clear"/>
            <w:vAlign w:val="center"/>
          </w:tcPr>
          <w:p>
            <w:pPr>
              <w:pStyle w:val="TableContents"/>
              <w:bidi w:val="0"/>
              <w:spacing w:before="0" w:after="283"/>
              <w:jc w:val="left"/>
              <w:rPr>
                <w:sz w:val="20"/>
              </w:rPr>
            </w:pPr>
            <w:r>
              <w:rPr>
                <w:sz w:val="20"/>
              </w:rPr>
              <w:t>Long-term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bookmarkStart w:id="94" w:name="xdx_408_eus-gaap--OtherLongTermDebtNoncu"/>
            <w:bookmarkEnd w:id="94"/>
          </w:p>
        </w:tc>
      </w:tr>
      <w:tr>
        <w:trPr/>
        <w:tc>
          <w:tcPr>
            <w:tcW w:w="7089" w:type="dxa"/>
            <w:tcBorders/>
            <w:shd w:fill="FFFFFF" w:val="clear"/>
            <w:vAlign w:val="center"/>
          </w:tcPr>
          <w:p>
            <w:pPr>
              <w:pStyle w:val="TableContents"/>
              <w:bidi w:val="0"/>
              <w:spacing w:before="0" w:after="283"/>
              <w:jc w:val="left"/>
              <w:rPr>
                <w:sz w:val="20"/>
              </w:rPr>
            </w:pPr>
            <w:r>
              <w:rPr>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96" w:type="dxa"/>
            <w:tcBorders/>
            <w:shd w:fill="FFFFFF" w:val="clear"/>
            <w:vAlign w:val="center"/>
          </w:tcPr>
          <w:p>
            <w:pPr>
              <w:pStyle w:val="TableContents"/>
              <w:bidi w:val="0"/>
              <w:spacing w:before="0" w:after="283"/>
              <w:jc w:val="left"/>
              <w:rPr/>
            </w:pPr>
            <w:r>
              <w:rPr/>
              <w:t> </w:t>
            </w:r>
            <w:bookmarkStart w:id="95" w:name="xdx_40B_eus-gaap--LiabilitiesNoncurrent_"/>
            <w:bookmarkEnd w:id="95"/>
          </w:p>
        </w:tc>
      </w:tr>
      <w:tr>
        <w:trPr/>
        <w:tc>
          <w:tcPr>
            <w:tcW w:w="7089" w:type="dxa"/>
            <w:tcBorders/>
            <w:shd w:fill="CCEEFF" w:val="clear"/>
            <w:vAlign w:val="center"/>
          </w:tcPr>
          <w:p>
            <w:pPr>
              <w:pStyle w:val="TableContents"/>
              <w:bidi w:val="0"/>
              <w:spacing w:before="0" w:after="283"/>
              <w:jc w:val="left"/>
              <w:rPr>
                <w:sz w:val="20"/>
              </w:rPr>
            </w:pPr>
            <w:r>
              <w:rPr>
                <w:sz w:val="20"/>
              </w:rPr>
              <w:t>Total long-term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6" w:type="dxa"/>
            <w:tcBorders/>
            <w:shd w:fill="CCEEFF" w:val="clear"/>
            <w:vAlign w:val="center"/>
          </w:tcPr>
          <w:p>
            <w:pPr>
              <w:pStyle w:val="TableContents"/>
              <w:bidi w:val="0"/>
              <w:spacing w:before="0" w:after="283"/>
              <w:jc w:val="left"/>
              <w:rPr/>
            </w:pPr>
            <w:r>
              <w:rPr/>
              <w:t> </w:t>
            </w:r>
            <w:bookmarkStart w:id="96" w:name="xdx_40F_eus-gaap--CommitmentsAndContinge"/>
            <w:bookmarkEnd w:id="96"/>
          </w:p>
        </w:tc>
      </w:tr>
      <w:tr>
        <w:trPr/>
        <w:tc>
          <w:tcPr>
            <w:tcW w:w="7089" w:type="dxa"/>
            <w:tcBorders/>
            <w:shd w:fill="FFFFFF" w:val="clear"/>
            <w:vAlign w:val="center"/>
          </w:tcPr>
          <w:p>
            <w:pPr>
              <w:pStyle w:val="TableContents"/>
              <w:bidi w:val="0"/>
              <w:spacing w:before="0" w:after="283"/>
              <w:jc w:val="left"/>
              <w:rPr>
                <w:sz w:val="20"/>
              </w:rPr>
            </w:pPr>
            <w:r>
              <w:rPr>
                <w:sz w:val="20"/>
              </w:rPr>
              <w:t>Commitments and contingencies (Note 13)</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96" w:type="dxa"/>
            <w:tcBorders/>
            <w:shd w:fill="FFFFFF" w:val="clear"/>
            <w:vAlign w:val="center"/>
          </w:tcPr>
          <w:p>
            <w:pPr>
              <w:pStyle w:val="TableContents"/>
              <w:bidi w:val="0"/>
              <w:spacing w:before="0" w:after="283"/>
              <w:jc w:val="left"/>
              <w:rPr/>
            </w:pPr>
            <w:r>
              <w:rPr/>
              <w:t> </w:t>
            </w:r>
            <w:bookmarkStart w:id="97" w:name="xdx_402_eus-gaap--Liabilities_i01TI_mtCz"/>
            <w:bookmarkEnd w:id="97"/>
          </w:p>
        </w:tc>
      </w:tr>
      <w:tr>
        <w:trPr/>
        <w:tc>
          <w:tcPr>
            <w:tcW w:w="7089" w:type="dxa"/>
            <w:tcBorders/>
            <w:shd w:fill="CCEEFF" w:val="clear"/>
            <w:vAlign w:val="center"/>
          </w:tcPr>
          <w:p>
            <w:pPr>
              <w:pStyle w:val="TableContents"/>
              <w:bidi w:val="0"/>
              <w:spacing w:before="0" w:after="283"/>
              <w:jc w:val="left"/>
              <w:rPr>
                <w:sz w:val="20"/>
              </w:rPr>
            </w:pPr>
            <w:r>
              <w:rPr>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31,899,358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30,397,442</w:t>
            </w:r>
          </w:p>
        </w:tc>
        <w:tc>
          <w:tcPr>
            <w:tcW w:w="96" w:type="dxa"/>
            <w:tcBorders/>
            <w:shd w:fill="CCEEFF" w:val="clear"/>
            <w:vAlign w:val="center"/>
          </w:tcPr>
          <w:p>
            <w:pPr>
              <w:pStyle w:val="TableContents"/>
              <w:bidi w:val="0"/>
              <w:spacing w:before="0" w:after="283"/>
              <w:jc w:val="left"/>
              <w:rPr/>
            </w:pPr>
            <w:r>
              <w:rPr/>
              <w:t> </w:t>
            </w:r>
          </w:p>
        </w:tc>
      </w:tr>
      <w:tr>
        <w:trPr/>
        <w:tc>
          <w:tcPr>
            <w:tcW w:w="70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bookmarkStart w:id="98" w:name="xdx_40F_eus-gaap--EquityAbstract_i01B_zi"/>
            <w:bookmarkEnd w:id="98"/>
          </w:p>
        </w:tc>
      </w:tr>
      <w:tr>
        <w:trPr/>
        <w:tc>
          <w:tcPr>
            <w:tcW w:w="7089" w:type="dxa"/>
            <w:tcBorders/>
            <w:shd w:fill="CCEEFF" w:val="clear"/>
            <w:vAlign w:val="center"/>
          </w:tcPr>
          <w:p>
            <w:pPr>
              <w:pStyle w:val="TableContents"/>
              <w:bidi w:val="0"/>
              <w:spacing w:before="0" w:after="283"/>
              <w:jc w:val="left"/>
              <w:rPr>
                <w:sz w:val="20"/>
              </w:rPr>
            </w:pPr>
            <w:r>
              <w:rPr>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70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bookmarkStart w:id="99" w:name="xdx_40D_eus-gaap--PreferredStockValue_i0"/>
            <w:bookmarkEnd w:id="99"/>
          </w:p>
        </w:tc>
      </w:tr>
      <w:tr>
        <w:trPr/>
        <w:tc>
          <w:tcPr>
            <w:tcW w:w="7089" w:type="dxa"/>
            <w:tcBorders/>
            <w:shd w:fill="CCEEFF" w:val="clear"/>
            <w:vAlign w:val="center"/>
          </w:tcPr>
          <w:p>
            <w:pPr>
              <w:pStyle w:val="TableContents"/>
              <w:bidi w:val="0"/>
              <w:spacing w:before="0" w:after="283"/>
              <w:jc w:val="left"/>
              <w:rPr>
                <w:sz w:val="20"/>
              </w:rPr>
            </w:pPr>
            <w:r>
              <w:rPr>
                <w:sz w:val="20"/>
              </w:rPr>
              <w:t>Preferred Stock, par value $</w:t>
            </w:r>
            <w:bookmarkStart w:id="100" w:name="xdx_903_eus-gaap--PreferredStockParOrSta"/>
            <w:bookmarkStart w:id="101" w:name="xdx_90B_eus-gaap--PreferredStockParOrSta"/>
            <w:bookmarkEnd w:id="100"/>
            <w:bookmarkEnd w:id="101"/>
            <w:r>
              <w:rPr>
                <w:sz w:val="20"/>
              </w:rPr>
              <w:t xml:space="preserve">0.001, </w:t>
            </w:r>
            <w:bookmarkStart w:id="102" w:name="xdx_908_eus-gaap--PreferredStockSharesAu"/>
            <w:bookmarkStart w:id="103" w:name="xdx_90D_eus-gaap--PreferredStockSharesAu"/>
            <w:bookmarkEnd w:id="102"/>
            <w:bookmarkEnd w:id="103"/>
            <w:r>
              <w:rPr>
                <w:sz w:val="20"/>
              </w:rPr>
              <w:t xml:space="preserve">1,000,000 shares authorized, </w:t>
            </w:r>
            <w:bookmarkStart w:id="104" w:name="xdx_908_eus-gaap--PreferredStockSharesOu"/>
            <w:bookmarkStart w:id="105" w:name="xdx_90F_eus-gaap--PreferredStockSharesIs"/>
            <w:bookmarkStart w:id="106" w:name="xdx_907_eus-gaap--PreferredStockSharesOu"/>
            <w:bookmarkStart w:id="107" w:name="xdx_902_eus-gaap--PreferredStockSharesIs"/>
            <w:bookmarkEnd w:id="104"/>
            <w:bookmarkEnd w:id="105"/>
            <w:bookmarkEnd w:id="106"/>
            <w:bookmarkEnd w:id="107"/>
            <w:r>
              <w:rPr>
                <w:sz w:val="20"/>
              </w:rPr>
              <w:t>none issued and outstanding</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sz w:val="20"/>
              </w:rPr>
            </w:pPr>
            <w:r>
              <w:rPr>
                <w:sz w:val="20"/>
              </w:rPr>
              <w:t>-</w:t>
            </w:r>
          </w:p>
        </w:tc>
        <w:tc>
          <w:tcPr>
            <w:tcW w:w="96" w:type="dxa"/>
            <w:tcBorders/>
            <w:shd w:fill="CCEEFF" w:val="clear"/>
            <w:vAlign w:val="center"/>
          </w:tcPr>
          <w:p>
            <w:pPr>
              <w:pStyle w:val="TableContents"/>
              <w:bidi w:val="0"/>
              <w:spacing w:before="0" w:after="283"/>
              <w:jc w:val="left"/>
              <w:rPr/>
            </w:pPr>
            <w:r>
              <w:rPr/>
              <w:t> </w:t>
            </w:r>
            <w:bookmarkStart w:id="108" w:name="xdx_40D_eus-gaap--CommonStockValue_i02I_"/>
            <w:bookmarkEnd w:id="108"/>
          </w:p>
        </w:tc>
      </w:tr>
      <w:tr>
        <w:trPr/>
        <w:tc>
          <w:tcPr>
            <w:tcW w:w="7089" w:type="dxa"/>
            <w:tcBorders/>
            <w:shd w:fill="FFFFFF" w:val="clear"/>
            <w:vAlign w:val="center"/>
          </w:tcPr>
          <w:p>
            <w:pPr>
              <w:pStyle w:val="TableContents"/>
              <w:bidi w:val="0"/>
              <w:spacing w:before="0" w:after="283"/>
              <w:jc w:val="left"/>
              <w:rPr>
                <w:sz w:val="20"/>
              </w:rPr>
            </w:pPr>
            <w:r>
              <w:rPr>
                <w:sz w:val="20"/>
              </w:rPr>
              <w:t>Common stock, par value $</w:t>
            </w:r>
            <w:bookmarkStart w:id="109" w:name="xdx_90D_eus-gaap--CommonStockParOrStated"/>
            <w:bookmarkStart w:id="110" w:name="xdx_904_eus-gaap--CommonStockParOrStated"/>
            <w:bookmarkEnd w:id="109"/>
            <w:bookmarkEnd w:id="110"/>
            <w:r>
              <w:rPr>
                <w:sz w:val="20"/>
              </w:rPr>
              <w:t xml:space="preserve">0.001, </w:t>
            </w:r>
            <w:bookmarkStart w:id="111" w:name="xdx_901_eus-gaap--CommonStockSharesAutho"/>
            <w:bookmarkStart w:id="112" w:name="xdx_903_eus-gaap--CommonStockSharesAutho"/>
            <w:bookmarkEnd w:id="111"/>
            <w:bookmarkEnd w:id="112"/>
            <w:r>
              <w:rPr>
                <w:sz w:val="20"/>
              </w:rPr>
              <w:t xml:space="preserve">500,000,000 shares authorized, </w:t>
            </w:r>
            <w:bookmarkStart w:id="113" w:name="xdx_90D_eus-gaap--CommonStockSharesOutst"/>
            <w:bookmarkStart w:id="114" w:name="xdx_90C_eus-gaap--CommonStockSharesIssue"/>
            <w:bookmarkEnd w:id="113"/>
            <w:bookmarkEnd w:id="114"/>
            <w:r>
              <w:rPr>
                <w:sz w:val="20"/>
              </w:rPr>
              <w:t xml:space="preserve">6,880,287 and </w:t>
            </w:r>
            <w:bookmarkStart w:id="115" w:name="xdx_901_eus-gaap--CommonStockSharesOutst"/>
            <w:bookmarkStart w:id="116" w:name="xdx_900_eus-gaap--CommonStockSharesIssue"/>
            <w:bookmarkEnd w:id="115"/>
            <w:bookmarkEnd w:id="116"/>
            <w:r>
              <w:rPr>
                <w:sz w:val="20"/>
              </w:rPr>
              <w:t>1,832,685 issued and outstanding as of December 31,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sz w:val="20"/>
              </w:rPr>
            </w:pPr>
            <w:r>
              <w:rPr>
                <w:sz w:val="20"/>
              </w:rPr>
              <w:t>6,880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sz w:val="20"/>
              </w:rPr>
            </w:pPr>
            <w:r>
              <w:rPr>
                <w:sz w:val="20"/>
              </w:rPr>
              <w:t>1,833</w:t>
            </w:r>
          </w:p>
        </w:tc>
        <w:tc>
          <w:tcPr>
            <w:tcW w:w="96" w:type="dxa"/>
            <w:tcBorders/>
            <w:shd w:fill="FFFFFF" w:val="clear"/>
            <w:vAlign w:val="center"/>
          </w:tcPr>
          <w:p>
            <w:pPr>
              <w:pStyle w:val="TableContents"/>
              <w:bidi w:val="0"/>
              <w:spacing w:before="0" w:after="283"/>
              <w:jc w:val="left"/>
              <w:rPr/>
            </w:pPr>
            <w:r>
              <w:rPr/>
              <w:t> </w:t>
            </w:r>
            <w:bookmarkStart w:id="117" w:name="xdx_40B_eus-gaap--AdditionalPaidInCapita"/>
            <w:bookmarkEnd w:id="117"/>
          </w:p>
        </w:tc>
      </w:tr>
      <w:tr>
        <w:trPr/>
        <w:tc>
          <w:tcPr>
            <w:tcW w:w="7089" w:type="dxa"/>
            <w:tcBorders/>
            <w:shd w:fill="CCEEFF" w:val="clear"/>
            <w:vAlign w:val="center"/>
          </w:tcPr>
          <w:p>
            <w:pPr>
              <w:pStyle w:val="TableContents"/>
              <w:bidi w:val="0"/>
              <w:spacing w:before="0" w:after="283"/>
              <w:jc w:val="left"/>
              <w:rPr>
                <w:sz w:val="20"/>
              </w:rPr>
            </w:pPr>
            <w:r>
              <w:rPr>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sz w:val="20"/>
              </w:rPr>
            </w:pPr>
            <w:r>
              <w:rPr>
                <w:sz w:val="20"/>
              </w:rPr>
              <w:t>307,012,770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sz w:val="20"/>
              </w:rPr>
            </w:pPr>
            <w:r>
              <w:rPr>
                <w:sz w:val="20"/>
              </w:rPr>
              <w:t>283,929,927</w:t>
            </w:r>
          </w:p>
        </w:tc>
        <w:tc>
          <w:tcPr>
            <w:tcW w:w="96" w:type="dxa"/>
            <w:tcBorders/>
            <w:shd w:fill="CCEEFF" w:val="clear"/>
            <w:vAlign w:val="center"/>
          </w:tcPr>
          <w:p>
            <w:pPr>
              <w:pStyle w:val="TableContents"/>
              <w:bidi w:val="0"/>
              <w:spacing w:before="0" w:after="283"/>
              <w:jc w:val="left"/>
              <w:rPr/>
            </w:pPr>
            <w:r>
              <w:rPr/>
              <w:t> </w:t>
            </w:r>
            <w:bookmarkStart w:id="118" w:name="xdx_402_eus-gaap--AccumulatedOtherCompre"/>
            <w:bookmarkEnd w:id="118"/>
          </w:p>
        </w:tc>
      </w:tr>
      <w:tr>
        <w:trPr/>
        <w:tc>
          <w:tcPr>
            <w:tcW w:w="7089" w:type="dxa"/>
            <w:tcBorders/>
            <w:shd w:fill="FFFFFF" w:val="clear"/>
            <w:vAlign w:val="center"/>
          </w:tcPr>
          <w:p>
            <w:pPr>
              <w:pStyle w:val="TableContents"/>
              <w:bidi w:val="0"/>
              <w:spacing w:before="0" w:after="283"/>
              <w:jc w:val="left"/>
              <w:rPr>
                <w:sz w:val="20"/>
              </w:rPr>
            </w:pPr>
            <w:r>
              <w:rPr>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sz w:val="20"/>
              </w:rPr>
            </w:pPr>
            <w:r>
              <w:rPr>
                <w:sz w:val="20"/>
              </w:rPr>
              <w:t>264,768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sz w:val="20"/>
              </w:rPr>
            </w:pPr>
            <w:r>
              <w:rPr>
                <w:sz w:val="20"/>
              </w:rPr>
              <w:t>16,880</w:t>
            </w:r>
          </w:p>
        </w:tc>
        <w:tc>
          <w:tcPr>
            <w:tcW w:w="96" w:type="dxa"/>
            <w:tcBorders/>
            <w:shd w:fill="FFFFFF" w:val="clear"/>
            <w:vAlign w:val="center"/>
          </w:tcPr>
          <w:p>
            <w:pPr>
              <w:pStyle w:val="TableContents"/>
              <w:bidi w:val="0"/>
              <w:spacing w:before="0" w:after="283"/>
              <w:jc w:val="left"/>
              <w:rPr/>
            </w:pPr>
            <w:r>
              <w:rPr/>
              <w:t> </w:t>
            </w:r>
            <w:bookmarkStart w:id="119" w:name="xdx_404_eus-gaap--RetainedEarningsAccumu"/>
            <w:bookmarkEnd w:id="119"/>
          </w:p>
        </w:tc>
      </w:tr>
      <w:tr>
        <w:trPr/>
        <w:tc>
          <w:tcPr>
            <w:tcW w:w="7089" w:type="dxa"/>
            <w:tcBorders/>
            <w:shd w:fill="CCEEFF" w:val="clear"/>
            <w:vAlign w:val="center"/>
          </w:tcPr>
          <w:p>
            <w:pPr>
              <w:pStyle w:val="TableContents"/>
              <w:bidi w:val="0"/>
              <w:spacing w:before="0" w:after="283"/>
              <w:jc w:val="left"/>
              <w:rPr>
                <w:sz w:val="20"/>
              </w:rPr>
            </w:pPr>
            <w:r>
              <w:rPr>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(284,007,361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(263,468,728</w:t>
            </w:r>
          </w:p>
        </w:tc>
        <w:tc>
          <w:tcPr>
            <w:tcW w:w="96" w:type="dxa"/>
            <w:tcBorders/>
            <w:shd w:fill="CCEEFF" w:val="clear"/>
            <w:vAlign w:val="center"/>
          </w:tcPr>
          <w:p>
            <w:pPr>
              <w:pStyle w:val="TableContents"/>
              <w:bidi w:val="0"/>
              <w:spacing w:before="0" w:after="283"/>
              <w:jc w:val="left"/>
              <w:rPr>
                <w:sz w:val="20"/>
              </w:rPr>
            </w:pPr>
            <w:r>
              <w:rPr>
                <w:sz w:val="20"/>
              </w:rPr>
              <w:t>)</w:t>
            </w:r>
            <w:bookmarkStart w:id="120" w:name="xdx_40B_eus-gaap--StockholdersEquity_i02"/>
            <w:bookmarkEnd w:id="120"/>
          </w:p>
        </w:tc>
      </w:tr>
      <w:tr>
        <w:trPr/>
        <w:tc>
          <w:tcPr>
            <w:tcW w:w="7089" w:type="dxa"/>
            <w:tcBorders/>
            <w:shd w:fill="FFFFFF" w:val="clear"/>
            <w:vAlign w:val="center"/>
          </w:tcPr>
          <w:p>
            <w:pPr>
              <w:pStyle w:val="TableContents"/>
              <w:bidi w:val="0"/>
              <w:spacing w:before="0" w:after="283"/>
              <w:jc w:val="left"/>
              <w:rPr>
                <w:sz w:val="20"/>
              </w:rPr>
            </w:pPr>
            <w:r>
              <w:rPr>
                <w:sz w:val="20"/>
              </w:rPr>
              <w:t>Total SEGG Media stockholders’ equity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sz w:val="20"/>
              </w:rPr>
            </w:pPr>
            <w:r>
              <w:rPr>
                <w:sz w:val="20"/>
              </w:rPr>
              <w:t>23,277,057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sz w:val="20"/>
              </w:rPr>
            </w:pPr>
            <w:r>
              <w:rPr>
                <w:sz w:val="20"/>
              </w:rPr>
              <w:t>20,479,912</w:t>
            </w:r>
          </w:p>
        </w:tc>
        <w:tc>
          <w:tcPr>
            <w:tcW w:w="96" w:type="dxa"/>
            <w:tcBorders/>
            <w:shd w:fill="FFFFFF" w:val="clear"/>
            <w:vAlign w:val="center"/>
          </w:tcPr>
          <w:p>
            <w:pPr>
              <w:pStyle w:val="TableContents"/>
              <w:bidi w:val="0"/>
              <w:spacing w:before="0" w:after="283"/>
              <w:jc w:val="left"/>
              <w:rPr/>
            </w:pPr>
            <w:r>
              <w:rPr/>
              <w:t> </w:t>
            </w:r>
            <w:bookmarkStart w:id="121" w:name="xdx_40F_eus-gaap--MinorityInterest_i01I_"/>
            <w:bookmarkEnd w:id="121"/>
          </w:p>
        </w:tc>
      </w:tr>
      <w:tr>
        <w:trPr/>
        <w:tc>
          <w:tcPr>
            <w:tcW w:w="7089" w:type="dxa"/>
            <w:tcBorders/>
            <w:shd w:fill="CCEEFF" w:val="clear"/>
            <w:vAlign w:val="center"/>
          </w:tcPr>
          <w:p>
            <w:pPr>
              <w:pStyle w:val="TableContents"/>
              <w:bidi w:val="0"/>
              <w:spacing w:before="0" w:after="283"/>
              <w:jc w:val="left"/>
              <w:rPr>
                <w:sz w:val="20"/>
              </w:rPr>
            </w:pPr>
            <w:r>
              <w:rPr>
                <w:sz w:val="20"/>
              </w:rPr>
              <w:t>Noncontrolling interest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483,810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2,064,917</w:t>
            </w:r>
          </w:p>
        </w:tc>
        <w:tc>
          <w:tcPr>
            <w:tcW w:w="96" w:type="dxa"/>
            <w:tcBorders/>
            <w:shd w:fill="CCEEFF" w:val="clear"/>
            <w:vAlign w:val="center"/>
          </w:tcPr>
          <w:p>
            <w:pPr>
              <w:pStyle w:val="TableContents"/>
              <w:bidi w:val="0"/>
              <w:spacing w:before="0" w:after="283"/>
              <w:jc w:val="left"/>
              <w:rPr/>
            </w:pPr>
            <w:r>
              <w:rPr/>
              <w:t> </w:t>
            </w:r>
            <w:bookmarkStart w:id="122" w:name="xdx_40F_eus-gaap--StockholdersEquityIncl"/>
            <w:bookmarkEnd w:id="122"/>
          </w:p>
        </w:tc>
      </w:tr>
      <w:tr>
        <w:trPr/>
        <w:tc>
          <w:tcPr>
            <w:tcW w:w="7089" w:type="dxa"/>
            <w:tcBorders/>
            <w:shd w:fill="FFFFFF" w:val="clear"/>
            <w:vAlign w:val="center"/>
          </w:tcPr>
          <w:p>
            <w:pPr>
              <w:pStyle w:val="TableContents"/>
              <w:bidi w:val="0"/>
              <w:spacing w:before="0" w:after="283"/>
              <w:jc w:val="left"/>
              <w:rPr>
                <w:sz w:val="20"/>
              </w:rPr>
            </w:pPr>
            <w:r>
              <w:rPr>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23,760,867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22,544,829</w:t>
            </w:r>
          </w:p>
        </w:tc>
        <w:tc>
          <w:tcPr>
            <w:tcW w:w="96" w:type="dxa"/>
            <w:tcBorders/>
            <w:shd w:fill="FFFFFF" w:val="clear"/>
            <w:vAlign w:val="center"/>
          </w:tcPr>
          <w:p>
            <w:pPr>
              <w:pStyle w:val="TableContents"/>
              <w:bidi w:val="0"/>
              <w:spacing w:before="0" w:after="283"/>
              <w:jc w:val="left"/>
              <w:rPr/>
            </w:pPr>
            <w:r>
              <w:rPr/>
              <w:t> </w:t>
            </w:r>
          </w:p>
        </w:tc>
      </w:tr>
      <w:tr>
        <w:trPr/>
        <w:tc>
          <w:tcPr>
            <w:tcW w:w="70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bookmarkStart w:id="123" w:name="xdx_402_eus-gaap--LiabilitiesAndStockhol"/>
            <w:bookmarkEnd w:id="123"/>
          </w:p>
        </w:tc>
      </w:tr>
      <w:tr>
        <w:trPr/>
        <w:tc>
          <w:tcPr>
            <w:tcW w:w="7089" w:type="dxa"/>
            <w:tcBorders/>
            <w:shd w:fill="FFFFFF" w:val="clear"/>
            <w:vAlign w:val="center"/>
          </w:tcPr>
          <w:p>
            <w:pPr>
              <w:pStyle w:val="TableContents"/>
              <w:bidi w:val="0"/>
              <w:spacing w:before="0" w:after="283"/>
              <w:jc w:val="left"/>
              <w:rPr>
                <w:sz w:val="20"/>
              </w:rPr>
            </w:pPr>
            <w:r>
              <w:rPr>
                <w:sz w:val="20"/>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55,660,225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52,942,271</w:t>
            </w:r>
          </w:p>
        </w:tc>
        <w:tc>
          <w:tcPr>
            <w:tcW w:w="9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restated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24" w:name="f_003"/>
      <w:bookmarkEnd w:id="124"/>
      <w:r>
        <w:rPr>
          <w:rFonts w:ascii="Times New Roman;Times;Serif" w:hAnsi="Times New Roman;Times;Serif"/>
          <w:b w:val="false"/>
          <w:i w:val="false"/>
          <w:caps w:val="false"/>
          <w:smallCaps w:val="false"/>
          <w:sz w:val="20"/>
        </w:rPr>
        <w:t>SPORTS ENTERTAINMENT GAMING GLOBAL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OPERATIONS AND COMPREHENSIVE LOSS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5" w:name="xdx_30D_113_zd2hRiNAorX2"/>
      <w:bookmarkStart w:id="126" w:name="xdx_30D_113_zd2hRiNAorX2"/>
      <w:bookmarkEnd w:id="126"/>
    </w:p>
    <w:tbl>
      <w:tblPr>
        <w:tblW w:w="7130" w:type="dxa"/>
        <w:jc w:val="left"/>
        <w:tblInd w:w="0" w:type="dxa"/>
        <w:tblLayout w:type="fixed"/>
        <w:tblCellMar>
          <w:top w:w="0" w:type="dxa"/>
          <w:left w:w="0" w:type="dxa"/>
          <w:bottom w:w="0" w:type="dxa"/>
          <w:right w:w="0" w:type="dxa"/>
        </w:tblCellMar>
      </w:tblPr>
      <w:tblGrid>
        <w:gridCol w:w="4565"/>
        <w:gridCol w:w="60"/>
        <w:gridCol w:w="125"/>
        <w:gridCol w:w="1010"/>
        <w:gridCol w:w="80"/>
        <w:gridCol w:w="60"/>
        <w:gridCol w:w="125"/>
        <w:gridCol w:w="1010"/>
        <w:gridCol w:w="95"/>
      </w:tblGrid>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127" w:name="xdx_49A_20250101__20251231_zMtOVqWpI1Wk"/>
            <w:bookmarkEnd w:id="127"/>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128" w:name="xdx_490_20240101__20241231_zmCHczw0Kaxc"/>
            <w:bookmarkEnd w:id="128"/>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1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Years Ended December 31,</w:t>
            </w:r>
          </w:p>
        </w:tc>
        <w:tc>
          <w:tcPr>
            <w:tcW w:w="9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9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bookmarkStart w:id="129" w:name="xdx_40C_eus-gaap--RevenueFromContractWit"/>
            <w:bookmarkEnd w:id="129"/>
          </w:p>
        </w:tc>
      </w:tr>
      <w:tr>
        <w:trPr/>
        <w:tc>
          <w:tcPr>
            <w:tcW w:w="4565" w:type="dxa"/>
            <w:tcBorders/>
            <w:shd w:fill="CCEEFF" w:val="clear"/>
            <w:vAlign w:val="center"/>
          </w:tcPr>
          <w:p>
            <w:pPr>
              <w:pStyle w:val="TableContents"/>
              <w:bidi w:val="0"/>
              <w:spacing w:before="0" w:after="283"/>
              <w:jc w:val="left"/>
              <w:rPr>
                <w:sz w:val="20"/>
              </w:rPr>
            </w:pPr>
            <w:r>
              <w:rPr>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010" w:type="dxa"/>
            <w:tcBorders/>
            <w:shd w:fill="CCEEFF" w:val="clear"/>
            <w:vAlign w:val="center"/>
          </w:tcPr>
          <w:p>
            <w:pPr>
              <w:pStyle w:val="TableContents"/>
              <w:bidi w:val="0"/>
              <w:spacing w:before="0" w:after="283"/>
              <w:jc w:val="right"/>
              <w:rPr>
                <w:sz w:val="20"/>
              </w:rPr>
            </w:pPr>
            <w:r>
              <w:rPr>
                <w:sz w:val="20"/>
              </w:rPr>
              <w:t>559,590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010" w:type="dxa"/>
            <w:tcBorders/>
            <w:shd w:fill="CCEEFF" w:val="clear"/>
            <w:vAlign w:val="center"/>
          </w:tcPr>
          <w:p>
            <w:pPr>
              <w:pStyle w:val="TableContents"/>
              <w:bidi w:val="0"/>
              <w:spacing w:before="0" w:after="283"/>
              <w:jc w:val="right"/>
              <w:rPr>
                <w:sz w:val="20"/>
              </w:rPr>
            </w:pPr>
            <w:r>
              <w:rPr>
                <w:sz w:val="20"/>
              </w:rPr>
              <w:t>958,645</w:t>
            </w:r>
          </w:p>
        </w:tc>
        <w:tc>
          <w:tcPr>
            <w:tcW w:w="95" w:type="dxa"/>
            <w:tcBorders/>
            <w:shd w:fill="CCEEFF" w:val="clear"/>
            <w:vAlign w:val="center"/>
          </w:tcPr>
          <w:p>
            <w:pPr>
              <w:pStyle w:val="TableContents"/>
              <w:bidi w:val="0"/>
              <w:spacing w:before="0" w:after="283"/>
              <w:jc w:val="left"/>
              <w:rPr/>
            </w:pPr>
            <w:r>
              <w:rPr/>
              <w:t> </w:t>
            </w:r>
            <w:bookmarkStart w:id="130" w:name="xdx_40C_eus-gaap--CostOfRevenue_msCzomt_"/>
            <w:bookmarkEnd w:id="130"/>
          </w:p>
        </w:tc>
      </w:tr>
      <w:tr>
        <w:trPr/>
        <w:tc>
          <w:tcPr>
            <w:tcW w:w="4565" w:type="dxa"/>
            <w:tcBorders/>
            <w:shd w:fill="FFFFFF" w:val="clear"/>
            <w:vAlign w:val="center"/>
          </w:tcPr>
          <w:p>
            <w:pPr>
              <w:pStyle w:val="TableContents"/>
              <w:bidi w:val="0"/>
              <w:spacing w:before="0" w:after="283"/>
              <w:jc w:val="left"/>
              <w:rPr>
                <w:sz w:val="20"/>
              </w:rPr>
            </w:pPr>
            <w:r>
              <w:rPr>
                <w:sz w:val="20"/>
              </w:rPr>
              <w:t>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774,823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320,869</w:t>
            </w:r>
          </w:p>
        </w:tc>
        <w:tc>
          <w:tcPr>
            <w:tcW w:w="95" w:type="dxa"/>
            <w:tcBorders/>
            <w:shd w:fill="FFFFFF" w:val="clear"/>
            <w:vAlign w:val="center"/>
          </w:tcPr>
          <w:p>
            <w:pPr>
              <w:pStyle w:val="TableContents"/>
              <w:bidi w:val="0"/>
              <w:spacing w:before="0" w:after="283"/>
              <w:jc w:val="left"/>
              <w:rPr/>
            </w:pPr>
            <w:r>
              <w:rPr/>
              <w:t> </w:t>
            </w:r>
            <w:bookmarkStart w:id="131" w:name="xdx_40D_eus-gaap--GrossProfit_iT_mtCzomt"/>
            <w:bookmarkEnd w:id="131"/>
          </w:p>
        </w:tc>
      </w:tr>
      <w:tr>
        <w:trPr/>
        <w:tc>
          <w:tcPr>
            <w:tcW w:w="4565" w:type="dxa"/>
            <w:tcBorders/>
            <w:shd w:fill="CCEEFF" w:val="clear"/>
            <w:vAlign w:val="center"/>
          </w:tcPr>
          <w:p>
            <w:pPr>
              <w:pStyle w:val="TableContents"/>
              <w:bidi w:val="0"/>
              <w:spacing w:before="0" w:after="283"/>
              <w:jc w:val="left"/>
              <w:rPr>
                <w:sz w:val="20"/>
              </w:rPr>
            </w:pPr>
            <w:r>
              <w:rPr>
                <w:sz w:val="20"/>
              </w:rPr>
              <w:t>Gross profit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(215,233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637,776</w:t>
            </w:r>
          </w:p>
        </w:tc>
        <w:tc>
          <w:tcPr>
            <w:tcW w:w="9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32" w:name="xdx_401_eus-gaap--OperatingExpensesAbstr"/>
            <w:bookmarkEnd w:id="132"/>
          </w:p>
        </w:tc>
      </w:tr>
      <w:tr>
        <w:trPr/>
        <w:tc>
          <w:tcPr>
            <w:tcW w:w="4565" w:type="dxa"/>
            <w:tcBorders/>
            <w:shd w:fill="CCEEFF" w:val="clear"/>
            <w:vAlign w:val="center"/>
          </w:tcPr>
          <w:p>
            <w:pPr>
              <w:pStyle w:val="TableContents"/>
              <w:bidi w:val="0"/>
              <w:spacing w:before="0" w:after="283"/>
              <w:jc w:val="left"/>
              <w:rPr>
                <w:sz w:val="20"/>
              </w:rPr>
            </w:pPr>
            <w:r>
              <w:rPr>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33" w:name="xdx_401_ecustom--PersonnelCosts_i01_maCz"/>
            <w:bookmarkEnd w:id="133"/>
          </w:p>
        </w:tc>
      </w:tr>
      <w:tr>
        <w:trPr/>
        <w:tc>
          <w:tcPr>
            <w:tcW w:w="4565" w:type="dxa"/>
            <w:tcBorders/>
            <w:shd w:fill="FFFFFF" w:val="clear"/>
            <w:vAlign w:val="center"/>
          </w:tcPr>
          <w:p>
            <w:pPr>
              <w:pStyle w:val="TableContents"/>
              <w:bidi w:val="0"/>
              <w:spacing w:before="0" w:after="283"/>
              <w:jc w:val="left"/>
              <w:rPr>
                <w:sz w:val="20"/>
              </w:rPr>
            </w:pPr>
            <w:r>
              <w:rPr>
                <w:sz w:val="20"/>
              </w:rPr>
              <w:t>Personnel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2,469,812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4,761,186</w:t>
            </w:r>
          </w:p>
        </w:tc>
        <w:tc>
          <w:tcPr>
            <w:tcW w:w="95" w:type="dxa"/>
            <w:tcBorders/>
            <w:shd w:fill="FFFFFF" w:val="clear"/>
            <w:vAlign w:val="center"/>
          </w:tcPr>
          <w:p>
            <w:pPr>
              <w:pStyle w:val="TableContents"/>
              <w:bidi w:val="0"/>
              <w:spacing w:before="0" w:after="283"/>
              <w:jc w:val="left"/>
              <w:rPr/>
            </w:pPr>
            <w:r>
              <w:rPr/>
              <w:t> </w:t>
            </w:r>
            <w:bookmarkStart w:id="134" w:name="xdx_40D_eus-gaap--ProfessionalFees_i01_m"/>
            <w:bookmarkEnd w:id="134"/>
          </w:p>
        </w:tc>
      </w:tr>
      <w:tr>
        <w:trPr/>
        <w:tc>
          <w:tcPr>
            <w:tcW w:w="4565" w:type="dxa"/>
            <w:tcBorders/>
            <w:shd w:fill="CCEEFF" w:val="clear"/>
            <w:vAlign w:val="center"/>
          </w:tcPr>
          <w:p>
            <w:pPr>
              <w:pStyle w:val="TableContents"/>
              <w:bidi w:val="0"/>
              <w:spacing w:before="0" w:after="283"/>
              <w:jc w:val="left"/>
              <w:rPr>
                <w:sz w:val="20"/>
              </w:rPr>
            </w:pPr>
            <w:r>
              <w:rPr>
                <w:sz w:val="20"/>
              </w:rPr>
              <w:t>Professional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6,637,644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5,436,831</w:t>
            </w:r>
          </w:p>
        </w:tc>
        <w:tc>
          <w:tcPr>
            <w:tcW w:w="95" w:type="dxa"/>
            <w:tcBorders/>
            <w:shd w:fill="CCEEFF" w:val="clear"/>
            <w:vAlign w:val="center"/>
          </w:tcPr>
          <w:p>
            <w:pPr>
              <w:pStyle w:val="TableContents"/>
              <w:bidi w:val="0"/>
              <w:spacing w:before="0" w:after="283"/>
              <w:jc w:val="left"/>
              <w:rPr/>
            </w:pPr>
            <w:r>
              <w:rPr/>
              <w:t> </w:t>
            </w:r>
            <w:bookmarkStart w:id="135" w:name="xdx_407_eus-gaap--GeneralAndAdministrati"/>
            <w:bookmarkEnd w:id="135"/>
          </w:p>
        </w:tc>
      </w:tr>
      <w:tr>
        <w:trPr/>
        <w:tc>
          <w:tcPr>
            <w:tcW w:w="4565" w:type="dxa"/>
            <w:tcBorders/>
            <w:shd w:fill="FFFFFF" w:val="clear"/>
            <w:vAlign w:val="center"/>
          </w:tcPr>
          <w:p>
            <w:pPr>
              <w:pStyle w:val="TableContents"/>
              <w:bidi w:val="0"/>
              <w:spacing w:before="0" w:after="283"/>
              <w:jc w:val="left"/>
              <w:rPr>
                <w:sz w:val="20"/>
              </w:rPr>
            </w:pPr>
            <w:r>
              <w:rPr>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4,306,273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3,688,547</w:t>
            </w:r>
          </w:p>
        </w:tc>
        <w:tc>
          <w:tcPr>
            <w:tcW w:w="95" w:type="dxa"/>
            <w:tcBorders/>
            <w:shd w:fill="FFFFFF" w:val="clear"/>
            <w:vAlign w:val="center"/>
          </w:tcPr>
          <w:p>
            <w:pPr>
              <w:pStyle w:val="TableContents"/>
              <w:bidi w:val="0"/>
              <w:spacing w:before="0" w:after="283"/>
              <w:jc w:val="left"/>
              <w:rPr/>
            </w:pPr>
            <w:r>
              <w:rPr/>
              <w:t> </w:t>
            </w:r>
            <w:bookmarkStart w:id="136" w:name="xdx_40C_eus-gaap--DepreciationAndAmortiz"/>
            <w:bookmarkEnd w:id="136"/>
          </w:p>
        </w:tc>
      </w:tr>
      <w:tr>
        <w:trPr/>
        <w:tc>
          <w:tcPr>
            <w:tcW w:w="4565"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4,238,921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5,020,647</w:t>
            </w:r>
          </w:p>
        </w:tc>
        <w:tc>
          <w:tcPr>
            <w:tcW w:w="95" w:type="dxa"/>
            <w:tcBorders/>
            <w:shd w:fill="CCEEFF" w:val="clear"/>
            <w:vAlign w:val="center"/>
          </w:tcPr>
          <w:p>
            <w:pPr>
              <w:pStyle w:val="TableContents"/>
              <w:bidi w:val="0"/>
              <w:spacing w:before="0" w:after="283"/>
              <w:jc w:val="left"/>
              <w:rPr/>
            </w:pPr>
            <w:r>
              <w:rPr/>
              <w:t> </w:t>
            </w:r>
            <w:bookmarkStart w:id="137" w:name="xdx_404_eus-gaap--OperatingExpenses_iT_m"/>
            <w:bookmarkEnd w:id="137"/>
          </w:p>
        </w:tc>
      </w:tr>
      <w:tr>
        <w:trPr/>
        <w:tc>
          <w:tcPr>
            <w:tcW w:w="4565" w:type="dxa"/>
            <w:tcBorders/>
            <w:shd w:fill="FFFFFF" w:val="clear"/>
            <w:vAlign w:val="center"/>
          </w:tcPr>
          <w:p>
            <w:pPr>
              <w:pStyle w:val="TableContents"/>
              <w:bidi w:val="0"/>
              <w:spacing w:before="0" w:after="283"/>
              <w:jc w:val="left"/>
              <w:rPr>
                <w:sz w:val="20"/>
              </w:rPr>
            </w:pPr>
            <w:r>
              <w:rPr>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17,652,650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18,907,211</w:t>
            </w:r>
          </w:p>
        </w:tc>
        <w:tc>
          <w:tcPr>
            <w:tcW w:w="95" w:type="dxa"/>
            <w:tcBorders/>
            <w:shd w:fill="FFFFFF" w:val="clear"/>
            <w:vAlign w:val="center"/>
          </w:tcPr>
          <w:p>
            <w:pPr>
              <w:pStyle w:val="TableContents"/>
              <w:bidi w:val="0"/>
              <w:spacing w:before="0" w:after="283"/>
              <w:jc w:val="left"/>
              <w:rPr/>
            </w:pPr>
            <w:r>
              <w:rPr/>
              <w:t> </w:t>
            </w:r>
            <w:bookmarkStart w:id="138" w:name="xdx_40F_eus-gaap--OperatingIncomeLoss_iT"/>
            <w:bookmarkEnd w:id="138"/>
          </w:p>
        </w:tc>
      </w:tr>
      <w:tr>
        <w:trPr/>
        <w:tc>
          <w:tcPr>
            <w:tcW w:w="4565" w:type="dxa"/>
            <w:tcBorders/>
            <w:shd w:fill="CCEEFF" w:val="clear"/>
            <w:vAlign w:val="center"/>
          </w:tcPr>
          <w:p>
            <w:pPr>
              <w:pStyle w:val="TableContents"/>
              <w:bidi w:val="0"/>
              <w:spacing w:before="0" w:after="283"/>
              <w:jc w:val="left"/>
              <w:rPr>
                <w:sz w:val="20"/>
              </w:rPr>
            </w:pPr>
            <w:r>
              <w:rPr>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(17,867,883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(18,269,435</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39" w:name="xdx_406_eus-gaap--OtherExpensesAbstract_"/>
            <w:bookmarkEnd w:id="139"/>
          </w:p>
        </w:tc>
      </w:tr>
      <w:tr>
        <w:trPr/>
        <w:tc>
          <w:tcPr>
            <w:tcW w:w="4565" w:type="dxa"/>
            <w:tcBorders/>
            <w:shd w:fill="CCEEFF" w:val="clear"/>
            <w:vAlign w:val="center"/>
          </w:tcPr>
          <w:p>
            <w:pPr>
              <w:pStyle w:val="TableContents"/>
              <w:bidi w:val="0"/>
              <w:spacing w:before="0" w:after="283"/>
              <w:jc w:val="left"/>
              <w:rPr>
                <w:sz w:val="20"/>
              </w:rPr>
            </w:pPr>
            <w:r>
              <w:rPr>
                <w:sz w:val="20"/>
              </w:rPr>
              <w:t>Other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40" w:name="xdx_40D_eus-gaap--InterestIncomeExpenseN"/>
            <w:bookmarkEnd w:id="140"/>
          </w:p>
        </w:tc>
      </w:tr>
      <w:tr>
        <w:trPr/>
        <w:tc>
          <w:tcPr>
            <w:tcW w:w="4565" w:type="dxa"/>
            <w:tcBorders/>
            <w:shd w:fill="FFFFFF" w:val="clear"/>
            <w:vAlign w:val="center"/>
          </w:tcPr>
          <w:p>
            <w:pPr>
              <w:pStyle w:val="TableContents"/>
              <w:bidi w:val="0"/>
              <w:spacing w:before="0" w:after="283"/>
              <w:jc w:val="left"/>
              <w:rPr>
                <w:sz w:val="20"/>
              </w:rPr>
            </w:pPr>
            <w:r>
              <w:rPr>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217,905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508,563</w:t>
            </w:r>
          </w:p>
        </w:tc>
        <w:tc>
          <w:tcPr>
            <w:tcW w:w="95" w:type="dxa"/>
            <w:tcBorders/>
            <w:shd w:fill="FFFFFF" w:val="clear"/>
            <w:vAlign w:val="center"/>
          </w:tcPr>
          <w:p>
            <w:pPr>
              <w:pStyle w:val="TableContents"/>
              <w:bidi w:val="0"/>
              <w:spacing w:before="0" w:after="283"/>
              <w:jc w:val="left"/>
              <w:rPr/>
            </w:pPr>
            <w:r>
              <w:rPr/>
              <w:t> </w:t>
            </w:r>
            <w:bookmarkStart w:id="141" w:name="xdx_404_eus-gaap--OtherNonoperatingExpen"/>
            <w:bookmarkEnd w:id="141"/>
          </w:p>
        </w:tc>
      </w:tr>
      <w:tr>
        <w:trPr/>
        <w:tc>
          <w:tcPr>
            <w:tcW w:w="4565" w:type="dxa"/>
            <w:tcBorders/>
            <w:shd w:fill="CCEEFF" w:val="clear"/>
            <w:vAlign w:val="center"/>
          </w:tcPr>
          <w:p>
            <w:pPr>
              <w:pStyle w:val="TableContents"/>
              <w:bidi w:val="0"/>
              <w:spacing w:before="0" w:after="283"/>
              <w:jc w:val="left"/>
              <w:rPr>
                <w:sz w:val="20"/>
              </w:rPr>
            </w:pPr>
            <w:r>
              <w:rPr>
                <w:sz w:val="20"/>
              </w:rPr>
              <w:t>Other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1,248,967</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968,903</w:t>
            </w:r>
          </w:p>
        </w:tc>
        <w:tc>
          <w:tcPr>
            <w:tcW w:w="95" w:type="dxa"/>
            <w:tcBorders/>
            <w:shd w:fill="CCEEFF" w:val="clear"/>
            <w:vAlign w:val="center"/>
          </w:tcPr>
          <w:p>
            <w:pPr>
              <w:pStyle w:val="TableContents"/>
              <w:bidi w:val="0"/>
              <w:spacing w:before="0" w:after="283"/>
              <w:jc w:val="left"/>
              <w:rPr/>
            </w:pPr>
            <w:r>
              <w:rPr/>
              <w:t> </w:t>
            </w:r>
            <w:bookmarkStart w:id="142" w:name="xdx_40F_eus-gaap--OtherNonoperatingIncom"/>
            <w:bookmarkEnd w:id="142"/>
          </w:p>
        </w:tc>
      </w:tr>
      <w:tr>
        <w:trPr/>
        <w:tc>
          <w:tcPr>
            <w:tcW w:w="4565" w:type="dxa"/>
            <w:tcBorders/>
            <w:shd w:fill="FFFFFF" w:val="clear"/>
            <w:vAlign w:val="center"/>
          </w:tcPr>
          <w:p>
            <w:pPr>
              <w:pStyle w:val="TableContents"/>
              <w:bidi w:val="0"/>
              <w:spacing w:before="0" w:after="283"/>
              <w:jc w:val="left"/>
              <w:rPr>
                <w:sz w:val="20"/>
              </w:rPr>
            </w:pPr>
            <w:r>
              <w:rPr>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(4,234,581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(107,143</w:t>
            </w:r>
          </w:p>
        </w:tc>
        <w:tc>
          <w:tcPr>
            <w:tcW w:w="95" w:type="dxa"/>
            <w:tcBorders/>
            <w:shd w:fill="FFFFFF" w:val="clear"/>
            <w:vAlign w:val="center"/>
          </w:tcPr>
          <w:p>
            <w:pPr>
              <w:pStyle w:val="TableContents"/>
              <w:bidi w:val="0"/>
              <w:spacing w:before="0" w:after="283"/>
              <w:jc w:val="left"/>
              <w:rPr>
                <w:sz w:val="20"/>
              </w:rPr>
            </w:pPr>
            <w:r>
              <w:rPr>
                <w:sz w:val="20"/>
              </w:rPr>
              <w:t>)</w:t>
            </w:r>
            <w:bookmarkStart w:id="143" w:name="xdx_40B_ecustom--ReserveAllowanceForPrep"/>
            <w:bookmarkEnd w:id="143"/>
          </w:p>
        </w:tc>
      </w:tr>
      <w:tr>
        <w:trPr/>
        <w:tc>
          <w:tcPr>
            <w:tcW w:w="4565" w:type="dxa"/>
            <w:tcBorders/>
            <w:shd w:fill="CCEEFF" w:val="clear"/>
            <w:vAlign w:val="center"/>
          </w:tcPr>
          <w:p>
            <w:pPr>
              <w:pStyle w:val="TableContents"/>
              <w:bidi w:val="0"/>
              <w:spacing w:before="0" w:after="283"/>
              <w:jc w:val="left"/>
              <w:rPr>
                <w:sz w:val="20"/>
              </w:rPr>
            </w:pPr>
            <w:r>
              <w:rPr>
                <w:sz w:val="20"/>
              </w:rPr>
              <w:t>Reserve allowance for prepaid advertising credits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5,688,078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4,745,000</w:t>
            </w:r>
          </w:p>
        </w:tc>
        <w:tc>
          <w:tcPr>
            <w:tcW w:w="95" w:type="dxa"/>
            <w:tcBorders/>
            <w:shd w:fill="CCEEFF" w:val="clear"/>
            <w:vAlign w:val="center"/>
          </w:tcPr>
          <w:p>
            <w:pPr>
              <w:pStyle w:val="TableContents"/>
              <w:bidi w:val="0"/>
              <w:spacing w:before="0" w:after="283"/>
              <w:jc w:val="left"/>
              <w:rPr/>
            </w:pPr>
            <w:r>
              <w:rPr/>
              <w:t> </w:t>
            </w:r>
            <w:bookmarkStart w:id="144" w:name="xdx_400_eus-gaap--GoodwillAndIntangibleA"/>
            <w:bookmarkEnd w:id="144"/>
          </w:p>
        </w:tc>
      </w:tr>
      <w:tr>
        <w:trPr/>
        <w:tc>
          <w:tcPr>
            <w:tcW w:w="4565" w:type="dxa"/>
            <w:tcBorders/>
            <w:shd w:fill="FFFFFF" w:val="clear"/>
            <w:vAlign w:val="center"/>
          </w:tcPr>
          <w:p>
            <w:pPr>
              <w:pStyle w:val="TableContents"/>
              <w:bidi w:val="0"/>
              <w:spacing w:before="0" w:after="283"/>
              <w:jc w:val="left"/>
              <w:rPr>
                <w:sz w:val="20"/>
              </w:rPr>
            </w:pPr>
            <w:r>
              <w:rPr>
                <w:sz w:val="20"/>
              </w:rPr>
              <w:t>Loss on impairment of intangibles &amp; goodwill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4,298,002</w:t>
            </w:r>
          </w:p>
        </w:tc>
        <w:tc>
          <w:tcPr>
            <w:tcW w:w="95" w:type="dxa"/>
            <w:tcBorders/>
            <w:shd w:fill="FFFFFF" w:val="clear"/>
            <w:vAlign w:val="center"/>
          </w:tcPr>
          <w:p>
            <w:pPr>
              <w:pStyle w:val="TableContents"/>
              <w:bidi w:val="0"/>
              <w:spacing w:before="0" w:after="283"/>
              <w:jc w:val="left"/>
              <w:rPr/>
            </w:pPr>
            <w:r>
              <w:rPr/>
              <w:t> </w:t>
            </w:r>
            <w:bookmarkStart w:id="145" w:name="xdx_40E_eus-gaap--NonoperatingIncomeExpe"/>
            <w:bookmarkEnd w:id="145"/>
          </w:p>
        </w:tc>
      </w:tr>
      <w:tr>
        <w:trPr/>
        <w:tc>
          <w:tcPr>
            <w:tcW w:w="4565" w:type="dxa"/>
            <w:tcBorders/>
            <w:shd w:fill="CCEEFF" w:val="clear"/>
            <w:vAlign w:val="center"/>
          </w:tcPr>
          <w:p>
            <w:pPr>
              <w:pStyle w:val="TableContents"/>
              <w:bidi w:val="0"/>
              <w:spacing w:before="0" w:after="283"/>
              <w:jc w:val="left"/>
              <w:rPr>
                <w:sz w:val="20"/>
              </w:rPr>
            </w:pPr>
            <w:r>
              <w:rPr>
                <w:sz w:val="20"/>
              </w:rPr>
              <w:t>Total other expenses,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2,920,369</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10,413,325</w:t>
            </w:r>
          </w:p>
        </w:tc>
        <w:tc>
          <w:tcPr>
            <w:tcW w:w="95" w:type="dxa"/>
            <w:tcBorders/>
            <w:shd w:fill="CCEEFF" w:val="clear"/>
            <w:vAlign w:val="center"/>
          </w:tcPr>
          <w:p>
            <w:pPr>
              <w:pStyle w:val="TableContents"/>
              <w:bidi w:val="0"/>
              <w:spacing w:before="0" w:after="283"/>
              <w:jc w:val="left"/>
              <w:rPr/>
            </w:pPr>
            <w:r>
              <w:rPr/>
              <w:t> </w:t>
            </w:r>
            <w:bookmarkStart w:id="146" w:name="xdx_40B_eus-gaap--IncomeLossFromContinui"/>
            <w:bookmarkEnd w:id="146"/>
          </w:p>
        </w:tc>
      </w:tr>
      <w:tr>
        <w:trPr/>
        <w:tc>
          <w:tcPr>
            <w:tcW w:w="4565" w:type="dxa"/>
            <w:tcBorders/>
            <w:shd w:fill="FFFFFF" w:val="clear"/>
            <w:vAlign w:val="center"/>
          </w:tcPr>
          <w:p>
            <w:pPr>
              <w:pStyle w:val="TableContents"/>
              <w:bidi w:val="0"/>
              <w:spacing w:before="0" w:after="283"/>
              <w:jc w:val="left"/>
              <w:rPr>
                <w:sz w:val="20"/>
              </w:rPr>
            </w:pPr>
            <w:r>
              <w:rPr>
                <w:sz w:val="20"/>
              </w:rPr>
              <w:t>Net loss before income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(20,788,252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(28,682,760</w:t>
            </w:r>
          </w:p>
        </w:tc>
        <w:tc>
          <w:tcPr>
            <w:tcW w:w="95" w:type="dxa"/>
            <w:tcBorders/>
            <w:shd w:fill="FFFFFF" w:val="clear"/>
            <w:vAlign w:val="center"/>
          </w:tcPr>
          <w:p>
            <w:pPr>
              <w:pStyle w:val="TableContents"/>
              <w:bidi w:val="0"/>
              <w:spacing w:before="0" w:after="283"/>
              <w:jc w:val="left"/>
              <w:rPr>
                <w:sz w:val="20"/>
              </w:rPr>
            </w:pPr>
            <w:r>
              <w:rPr>
                <w:sz w:val="20"/>
              </w:rPr>
              <w:t>)</w:t>
            </w:r>
            <w:bookmarkStart w:id="147" w:name="xdx_40A_eus-gaap--IncomeTaxExpenseBenefi"/>
            <w:bookmarkEnd w:id="147"/>
          </w:p>
        </w:tc>
      </w:tr>
      <w:tr>
        <w:trPr/>
        <w:tc>
          <w:tcPr>
            <w:tcW w:w="4565" w:type="dxa"/>
            <w:tcBorders/>
            <w:shd w:fill="CCEEFF" w:val="clear"/>
            <w:vAlign w:val="center"/>
          </w:tcPr>
          <w:p>
            <w:pPr>
              <w:pStyle w:val="TableContents"/>
              <w:bidi w:val="0"/>
              <w:spacing w:before="0" w:after="283"/>
              <w:jc w:val="left"/>
              <w:rPr>
                <w:sz w:val="20"/>
              </w:rPr>
            </w:pPr>
            <w:r>
              <w:rPr>
                <w:sz w:val="20"/>
              </w:rPr>
              <w:t>Income tax expense (benefit)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16,815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26,315</w:t>
            </w:r>
          </w:p>
        </w:tc>
        <w:tc>
          <w:tcPr>
            <w:tcW w:w="95" w:type="dxa"/>
            <w:tcBorders/>
            <w:shd w:fill="CCEEFF" w:val="clear"/>
            <w:vAlign w:val="center"/>
          </w:tcPr>
          <w:p>
            <w:pPr>
              <w:pStyle w:val="TableContents"/>
              <w:bidi w:val="0"/>
              <w:spacing w:before="0" w:after="283"/>
              <w:jc w:val="left"/>
              <w:rPr/>
            </w:pPr>
            <w:r>
              <w:rPr/>
              <w:t> </w:t>
            </w:r>
            <w:bookmarkStart w:id="148" w:name="xdx_403_eus-gaap--ProfitLoss_iT_mtCzEmJ_"/>
            <w:bookmarkEnd w:id="148"/>
          </w:p>
        </w:tc>
      </w:tr>
      <w:tr>
        <w:trPr/>
        <w:tc>
          <w:tcPr>
            <w:tcW w:w="4565" w:type="dxa"/>
            <w:tcBorders/>
            <w:shd w:fill="FFFFFF" w:val="clear"/>
            <w:vAlign w:val="center"/>
          </w:tcPr>
          <w:p>
            <w:pPr>
              <w:pStyle w:val="TableContents"/>
              <w:bidi w:val="0"/>
              <w:spacing w:before="0" w:after="283"/>
              <w:jc w:val="left"/>
              <w:rPr>
                <w:sz w:val="20"/>
              </w:rPr>
            </w:pPr>
            <w:r>
              <w:rPr>
                <w:sz w:val="20"/>
              </w:rPr>
              <w:t>Net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(20,805,067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(28,709,075</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49" w:name="xdx_408_eus-gaap--OtherComprehensiveInco"/>
            <w:bookmarkEnd w:id="149"/>
          </w:p>
        </w:tc>
      </w:tr>
      <w:tr>
        <w:trPr/>
        <w:tc>
          <w:tcPr>
            <w:tcW w:w="4565" w:type="dxa"/>
            <w:tcBorders/>
            <w:shd w:fill="FFFFFF" w:val="clear"/>
            <w:vAlign w:val="center"/>
          </w:tcPr>
          <w:p>
            <w:pPr>
              <w:pStyle w:val="TableContents"/>
              <w:bidi w:val="0"/>
              <w:spacing w:before="0" w:after="283"/>
              <w:jc w:val="left"/>
              <w:rPr>
                <w:sz w:val="20"/>
              </w:rPr>
            </w:pPr>
            <w:r>
              <w:rPr>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50" w:name="xdx_40B_ecustom--OtherComprehensiveIncom"/>
            <w:bookmarkEnd w:id="150"/>
          </w:p>
        </w:tc>
      </w:tr>
      <w:tr>
        <w:trPr/>
        <w:tc>
          <w:tcPr>
            <w:tcW w:w="4565" w:type="dxa"/>
            <w:tcBorders/>
            <w:shd w:fill="CCEEFF" w:val="clear"/>
            <w:vAlign w:val="center"/>
          </w:tcPr>
          <w:p>
            <w:pPr>
              <w:pStyle w:val="TableContents"/>
              <w:bidi w:val="0"/>
              <w:spacing w:before="0" w:after="283"/>
              <w:jc w:val="left"/>
              <w:rPr>
                <w:sz w:val="20"/>
              </w:rPr>
            </w:pPr>
            <w:r>
              <w:rPr>
                <w:sz w:val="20"/>
              </w:rPr>
              <w:t>Foreign currency translation adjustment,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280,490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317,424</w:t>
            </w:r>
          </w:p>
        </w:tc>
        <w:tc>
          <w:tcPr>
            <w:tcW w:w="95" w:type="dxa"/>
            <w:tcBorders/>
            <w:shd w:fill="CCEEFF" w:val="clear"/>
            <w:vAlign w:val="center"/>
          </w:tcPr>
          <w:p>
            <w:pPr>
              <w:pStyle w:val="TableContents"/>
              <w:bidi w:val="0"/>
              <w:spacing w:before="0" w:after="283"/>
              <w:jc w:val="left"/>
              <w:rPr/>
            </w:pPr>
            <w:r>
              <w:rPr/>
              <w:t> </w:t>
            </w:r>
            <w:bookmarkStart w:id="151" w:name="xdx_403_eus-gaap--ComprehensiveIncomeNet"/>
            <w:bookmarkEnd w:id="151"/>
          </w:p>
        </w:tc>
      </w:tr>
      <w:tr>
        <w:trPr/>
        <w:tc>
          <w:tcPr>
            <w:tcW w:w="4565" w:type="dxa"/>
            <w:tcBorders/>
            <w:shd w:fill="FFFFFF" w:val="clear"/>
            <w:vAlign w:val="center"/>
          </w:tcPr>
          <w:p>
            <w:pPr>
              <w:pStyle w:val="TableContents"/>
              <w:bidi w:val="0"/>
              <w:spacing w:before="0" w:after="283"/>
              <w:jc w:val="left"/>
              <w:rPr>
                <w:sz w:val="20"/>
              </w:rPr>
            </w:pPr>
            <w:r>
              <w:rPr>
                <w:sz w:val="20"/>
              </w:rPr>
              <w:t>Comprehensive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(20,524,577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(28,391,651</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52" w:name="xdx_408_eus-gaap--NetIncomeLossAttributa"/>
            <w:bookmarkEnd w:id="152"/>
          </w:p>
        </w:tc>
      </w:tr>
      <w:tr>
        <w:trPr/>
        <w:tc>
          <w:tcPr>
            <w:tcW w:w="4565" w:type="dxa"/>
            <w:tcBorders/>
            <w:shd w:fill="FFFFFF" w:val="clear"/>
            <w:vAlign w:val="center"/>
          </w:tcPr>
          <w:p>
            <w:pPr>
              <w:pStyle w:val="TableContents"/>
              <w:bidi w:val="0"/>
              <w:spacing w:before="0" w:after="283"/>
              <w:jc w:val="left"/>
              <w:rPr>
                <w:sz w:val="20"/>
              </w:rPr>
            </w:pPr>
            <w:r>
              <w:rPr>
                <w:sz w:val="20"/>
              </w:rPr>
              <w:t>Net income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220,969</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170,046</w:t>
            </w:r>
          </w:p>
        </w:tc>
        <w:tc>
          <w:tcPr>
            <w:tcW w:w="95" w:type="dxa"/>
            <w:tcBorders/>
            <w:shd w:fill="FFFFFF" w:val="clear"/>
            <w:vAlign w:val="center"/>
          </w:tcPr>
          <w:p>
            <w:pPr>
              <w:pStyle w:val="TableContents"/>
              <w:bidi w:val="0"/>
              <w:spacing w:before="0" w:after="283"/>
              <w:jc w:val="left"/>
              <w:rPr/>
            </w:pPr>
            <w:r>
              <w:rPr/>
              <w:t> </w:t>
            </w:r>
            <w:bookmarkStart w:id="153" w:name="xdx_406_eus-gaap--NetIncomeLoss_iT_mtNIL"/>
            <w:bookmarkEnd w:id="153"/>
          </w:p>
        </w:tc>
      </w:tr>
      <w:tr>
        <w:trPr/>
        <w:tc>
          <w:tcPr>
            <w:tcW w:w="4565" w:type="dxa"/>
            <w:tcBorders/>
            <w:shd w:fill="CCEEFF" w:val="clear"/>
            <w:vAlign w:val="center"/>
          </w:tcPr>
          <w:p>
            <w:pPr>
              <w:pStyle w:val="TableContents"/>
              <w:bidi w:val="0"/>
              <w:spacing w:before="0" w:after="283"/>
              <w:jc w:val="left"/>
              <w:rPr>
                <w:sz w:val="20"/>
              </w:rPr>
            </w:pPr>
            <w:r>
              <w:rPr>
                <w:sz w:val="20"/>
              </w:rPr>
              <w:t>Net loss attributable to SEGG Media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(20,303,608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(28,221,605</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54" w:name="xdx_406_eus-gaap--EarningsPerShareAbstra"/>
            <w:bookmarkEnd w:id="154"/>
          </w:p>
        </w:tc>
      </w:tr>
      <w:tr>
        <w:trPr/>
        <w:tc>
          <w:tcPr>
            <w:tcW w:w="4565" w:type="dxa"/>
            <w:tcBorders/>
            <w:shd w:fill="CCEEFF" w:val="clear"/>
            <w:vAlign w:val="center"/>
          </w:tcPr>
          <w:p>
            <w:pPr>
              <w:pStyle w:val="TableContents"/>
              <w:bidi w:val="0"/>
              <w:spacing w:before="0" w:after="283"/>
              <w:jc w:val="left"/>
              <w:rPr>
                <w:sz w:val="20"/>
              </w:rPr>
            </w:pPr>
            <w:r>
              <w:rPr>
                <w:sz w:val="20"/>
              </w:rPr>
              <w:t>Net loss per common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sz w:val="20"/>
              </w:rPr>
            </w:pPr>
            <w:r>
              <w:rPr>
                <w:sz w:val="20"/>
              </w:rPr>
              <w:t>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bookmarkStart w:id="155" w:name="xdx_901_eus-gaap--EarningsPerShareDilute"/>
            <w:bookmarkStart w:id="156" w:name="xdx_907_eus-gaap--EarningsPerShareBasic_"/>
            <w:bookmarkEnd w:id="155"/>
            <w:bookmarkEnd w:id="156"/>
            <w:r>
              <w:rPr>
                <w:sz w:val="20"/>
              </w:rPr>
              <w:t>(5.78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bookmarkStart w:id="157" w:name="xdx_902_eus-gaap--EarningsPerShareDilute"/>
            <w:bookmarkStart w:id="158" w:name="xdx_90F_eus-gaap--EarningsPerShareBasic_"/>
            <w:bookmarkEnd w:id="157"/>
            <w:bookmarkEnd w:id="158"/>
            <w:r>
              <w:rPr>
                <w:sz w:val="20"/>
              </w:rPr>
              <w:t>(19.63</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5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59" w:name="xdx_40D_eus-gaap--WeightedAverageNumberO"/>
            <w:bookmarkEnd w:id="159"/>
          </w:p>
        </w:tc>
      </w:tr>
      <w:tr>
        <w:trPr/>
        <w:tc>
          <w:tcPr>
            <w:tcW w:w="4565" w:type="dxa"/>
            <w:tcBorders/>
            <w:shd w:fill="FFFFFF" w:val="clear"/>
            <w:vAlign w:val="center"/>
          </w:tcPr>
          <w:p>
            <w:pPr>
              <w:pStyle w:val="TableContents"/>
              <w:bidi w:val="0"/>
              <w:spacing w:before="0" w:after="283"/>
              <w:jc w:val="left"/>
              <w:rPr>
                <w:sz w:val="20"/>
              </w:rPr>
            </w:pPr>
            <w:r>
              <w:rPr>
                <w:sz w:val="20"/>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sz w:val="20"/>
              </w:rPr>
            </w:pPr>
            <w:r>
              <w:rPr>
                <w:sz w:val="20"/>
              </w:rPr>
              <w:t>Basic and diluted recheck WA shares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160" w:name="xdx_906_eus-gaap--WeightedAverageNumberO"/>
            <w:bookmarkStart w:id="161" w:name="xdx_902_eus-gaap--WeightedAverageNumberO"/>
            <w:bookmarkEnd w:id="160"/>
            <w:bookmarkEnd w:id="161"/>
            <w:r>
              <w:rPr>
                <w:sz w:val="20"/>
              </w:rPr>
              <w:t>3,515,444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162" w:name="xdx_90D_eus-gaap--WeightedAverageNumberO"/>
            <w:bookmarkStart w:id="163" w:name="xdx_90F_eus-gaap--WeightedAverageNumberO"/>
            <w:bookmarkEnd w:id="162"/>
            <w:bookmarkEnd w:id="163"/>
            <w:r>
              <w:rPr>
                <w:sz w:val="20"/>
              </w:rPr>
              <w:t>1,437,534</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restated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64" w:name="f_004"/>
      <w:bookmarkEnd w:id="164"/>
      <w:r>
        <w:rPr>
          <w:rFonts w:ascii="Times New Roman;Times;Serif" w:hAnsi="Times New Roman;Times;Serif"/>
          <w:b w:val="false"/>
          <w:i w:val="false"/>
          <w:caps w:val="false"/>
          <w:smallCaps w:val="false"/>
          <w:sz w:val="20"/>
        </w:rPr>
        <w:t>SPORTS ENTERTAINMENT GAMING GLOBAL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EQUITY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ENDING DECEMBER 31, 2025 and 2024</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5" w:name="xdx_30F_114_zUIHV0eAb54c"/>
      <w:bookmarkStart w:id="166" w:name="xdx_30F_114_zUIHV0eAb54c"/>
      <w:bookmarkEnd w:id="166"/>
    </w:p>
    <w:tbl>
      <w:tblPr>
        <w:tblW w:w="11940" w:type="dxa"/>
        <w:jc w:val="left"/>
        <w:tblInd w:w="0" w:type="dxa"/>
        <w:tblLayout w:type="fixed"/>
        <w:tblCellMar>
          <w:top w:w="0" w:type="dxa"/>
          <w:left w:w="0" w:type="dxa"/>
          <w:bottom w:w="0" w:type="dxa"/>
          <w:right w:w="0" w:type="dxa"/>
        </w:tblCellMar>
      </w:tblPr>
      <w:tblGrid>
        <w:gridCol w:w="1265"/>
        <w:gridCol w:w="60"/>
        <w:gridCol w:w="60"/>
        <w:gridCol w:w="845"/>
        <w:gridCol w:w="60"/>
        <w:gridCol w:w="60"/>
        <w:gridCol w:w="142"/>
        <w:gridCol w:w="553"/>
        <w:gridCol w:w="60"/>
        <w:gridCol w:w="60"/>
        <w:gridCol w:w="125"/>
        <w:gridCol w:w="1055"/>
        <w:gridCol w:w="60"/>
        <w:gridCol w:w="60"/>
        <w:gridCol w:w="125"/>
        <w:gridCol w:w="1115"/>
        <w:gridCol w:w="80"/>
        <w:gridCol w:w="60"/>
        <w:gridCol w:w="106"/>
        <w:gridCol w:w="1234"/>
        <w:gridCol w:w="80"/>
        <w:gridCol w:w="60"/>
        <w:gridCol w:w="125"/>
        <w:gridCol w:w="1370"/>
        <w:gridCol w:w="80"/>
        <w:gridCol w:w="60"/>
        <w:gridCol w:w="158"/>
        <w:gridCol w:w="1152"/>
        <w:gridCol w:w="80"/>
        <w:gridCol w:w="60"/>
        <w:gridCol w:w="125"/>
        <w:gridCol w:w="1310"/>
        <w:gridCol w:w="95"/>
      </w:tblGrid>
      <w:tr>
        <w:trPr/>
        <w:tc>
          <w:tcPr>
            <w:tcW w:w="12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67" w:name="xdx_4BD_us-gaap--StatementEquityComponen"/>
            <w:bookmarkEnd w:id="167"/>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68" w:name="xdx_4B8_us-gaap--StatementEquityComponen"/>
            <w:bookmarkEnd w:id="168"/>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69" w:name="xdx_4B3_us-gaap--StatementEquityComponen"/>
            <w:bookmarkEnd w:id="169"/>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70" w:name="xdx_4BF_us-gaap--StatementEquityComponen"/>
            <w:bookmarkEnd w:id="170"/>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71" w:name="xdx_4BA_us-gaap--StatementEquityComponen"/>
            <w:bookmarkEnd w:id="171"/>
          </w:p>
        </w:tc>
        <w:tc>
          <w:tcPr>
            <w:tcW w:w="14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72" w:name="xdx_4B1_us-gaap--StatementEquityComponen"/>
            <w:bookmarkEnd w:id="172"/>
          </w:p>
        </w:tc>
        <w:tc>
          <w:tcPr>
            <w:tcW w:w="13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73" w:name="xdx_4B1_z7qg7rI7A2Ai"/>
            <w:bookmarkEnd w:id="173"/>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5"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AutoLotto Inc.</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35"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174" w:name="xdx_431_c20240101__20241231_eus-gaap--St"/>
            <w:bookmarkEnd w:id="174"/>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December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5" w:name="xdx_98B_eus-gaap--SharesOutstanding_iS_p"/>
            <w:bookmarkEnd w:id="175"/>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287,705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269,693,158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(235,132,590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34,469,189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2,120,176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36,589,618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6" w:name="xdx_405_eus-gaap--StockIssuedDuringPerio"/>
            <w:bookmarkEnd w:id="176"/>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7" w:name="xdx_986_eus-gaap--StockIssuedDuringPerio"/>
            <w:bookmarkEnd w:id="177"/>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183,929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1,686,465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1,686,649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1,686,649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8" w:name="xdx_40E_eus-gaap--StockIssuedDuringPerio"/>
            <w:bookmarkEnd w:id="178"/>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issued for Acquisition of Subsidiary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9" w:name="xdx_988_eus-gaap--StockIssuedDuringPerio"/>
            <w:bookmarkEnd w:id="179"/>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0" w:name="xdx_403_eus-gaap--StockIssuedDuringPerio"/>
            <w:bookmarkEnd w:id="180"/>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issued to convert debt to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1" w:name="xdx_986_eus-gaap--StockIssuedDuringPerio"/>
            <w:bookmarkEnd w:id="181"/>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2,512,519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2,512,519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2,512,793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2" w:name="xdx_40F_ecustom--StockIssuedDuringPeriod"/>
            <w:bookmarkEnd w:id="182"/>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retire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3" w:name="xdx_40A_eus-gaap--StockIssuedDuringPerio"/>
            <w:bookmarkEnd w:id="183"/>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4" w:name="xdx_98A_eus-gaap--StockIssuedDuringPerio"/>
            <w:bookmarkEnd w:id="184"/>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5" w:name="xdx_40B_eus-gaap--StockIssuedDuringPerio"/>
            <w:bookmarkEnd w:id="185"/>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issued for Commitment fee, Stock Purchase Agreement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6" w:name="xdx_987_eus-gaap--StockIssuedDuringPerio"/>
            <w:bookmarkEnd w:id="186"/>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470,064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470,116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470,116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7" w:name="xdx_404_ecustom--StockIssuedDuringPeriod"/>
            <w:bookmarkEnd w:id="187"/>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issued in lieu of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8" w:name="xdx_98E_ecustom--StockIssuedDuringPeriod"/>
            <w:bookmarkEnd w:id="188"/>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1,021,046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9,362,081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9,363,102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9,363,102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9" w:name="xdx_409_ecustom--OtherComprehensiveIncom"/>
            <w:bookmarkEnd w:id="189"/>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0" w:name="xdx_400_eus-gaap--ComprehensiveIncomeNet"/>
            <w:bookmarkEnd w:id="190"/>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(28,221,605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(28,221,605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(28,391,651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91" w:name="xdx_43B_c20250101__20251231_eus-gaap--St"/>
            <w:bookmarkEnd w:id="191"/>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December 31,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92" w:name="xdx_989_eus-gaap--SharesOutstanding_iS_p"/>
            <w:bookmarkEnd w:id="192"/>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1,832,686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283,929,927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(263,468,728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20,479,912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2,064,917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22,544,829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3" w:name="xdx_43C_c20250101__20251231_eus-gaap--St"/>
            <w:bookmarkEnd w:id="193"/>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94" w:name="xdx_98A_eus-gaap--SharesOutstanding_iS_p"/>
            <w:bookmarkEnd w:id="194"/>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1,832,686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283,929,927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(263,468,728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20,479,912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2,064,917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22,544,829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5" w:name="xdx_40E_eus-gaap--StockIssuedDuringPerio"/>
            <w:bookmarkEnd w:id="195"/>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 issued for asset acquisition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6" w:name="xdx_981_eus-gaap--StockIssuedDuringPerio"/>
            <w:bookmarkEnd w:id="196"/>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6,010,707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6,010,877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6,010,877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7" w:name="xdx_403_eus-gaap--StockIssuedDuringPerio"/>
            <w:bookmarkEnd w:id="197"/>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debt to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8" w:name="xdx_986_eus-gaap--StockIssuedDuringPerio"/>
            <w:bookmarkEnd w:id="198"/>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672,553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3,649,565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3,650,238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3,650,238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9" w:name="xdx_40B_eus-gaap--StockIssuedDuringPerio"/>
            <w:bookmarkEnd w:id="199"/>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issued under Stock Purchase Agreement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0" w:name="xdx_987_eus-gaap--StockIssuedDuringPerio"/>
            <w:bookmarkEnd w:id="200"/>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1,495,118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2,945,632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2,947,127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2,947,127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1" w:name="xdx_405_ecustom--StockIssuedDuringPeriod"/>
            <w:bookmarkEnd w:id="201"/>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issued in lieu of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2" w:name="xdx_981_ecustom--StockIssuedDuringPeriod"/>
            <w:bookmarkEnd w:id="202"/>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2,709,931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9,726,937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9,729,646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9,729,646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3" w:name="xdx_409_eus-gaap--AdjustmentsToAdditiona"/>
            <w:bookmarkEnd w:id="203"/>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issued for Commitment fee, Stock Purchase Agreement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4" w:name="xdx_401_ecustom--StockIssuedDuringPeriod"/>
            <w:bookmarkEnd w:id="204"/>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period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(235,025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(235,025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(1,360,138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(1,595,163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05" w:name="xdx_407_ecustom--OtherComprehensiveIncom"/>
            <w:bookmarkEnd w:id="205"/>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247,888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247,888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247,888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6" w:name="xdx_407_eus-gaap--ComprehensiveIncomeNet"/>
            <w:bookmarkEnd w:id="206"/>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(20,303,608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(20,303,608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(220,969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(20,524,577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07" w:name="xdx_436_c20250101__20251231_eus-gaap--St"/>
            <w:bookmarkEnd w:id="207"/>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08" w:name="xdx_981_eus-gaap--SharesOutstanding_iE_p"/>
            <w:bookmarkEnd w:id="208"/>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6,880,288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307,012,770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(284,007,361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264,768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23,277,057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483,810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23,760,867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9" w:name="xdx_43D_c20250101__20251231_eus-gaap--St"/>
            <w:bookmarkEnd w:id="209"/>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Balance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10" w:name="xdx_98C_eus-gaap--SharesOutstanding_iE_p"/>
            <w:bookmarkEnd w:id="210"/>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6,880,288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307,012,770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(284,007,361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264,768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23,277,057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483,810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23,760,867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restated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211" w:name="f_005"/>
      <w:bookmarkEnd w:id="211"/>
      <w:r>
        <w:rPr>
          <w:rFonts w:ascii="Times New Roman;Times;Serif" w:hAnsi="Times New Roman;Times;Serif"/>
          <w:b w:val="false"/>
          <w:i w:val="false"/>
          <w:caps w:val="false"/>
          <w:smallCaps w:val="false"/>
          <w:sz w:val="20"/>
        </w:rPr>
        <w:t>SPORTS ENTERTAINMENT GAMING GLOBAL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CASH FLOWS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2" w:name="xdx_306_112_ztaVGrmOISK8"/>
      <w:bookmarkStart w:id="213" w:name="xdx_306_112_ztaVGrmOISK8"/>
      <w:bookmarkEnd w:id="213"/>
    </w:p>
    <w:tbl>
      <w:tblPr>
        <w:tblW w:w="8555" w:type="dxa"/>
        <w:jc w:val="left"/>
        <w:tblInd w:w="0" w:type="dxa"/>
        <w:tblLayout w:type="fixed"/>
        <w:tblCellMar>
          <w:top w:w="0" w:type="dxa"/>
          <w:left w:w="0" w:type="dxa"/>
          <w:bottom w:w="0" w:type="dxa"/>
          <w:right w:w="0" w:type="dxa"/>
        </w:tblCellMar>
      </w:tblPr>
      <w:tblGrid>
        <w:gridCol w:w="5945"/>
        <w:gridCol w:w="60"/>
        <w:gridCol w:w="125"/>
        <w:gridCol w:w="1010"/>
        <w:gridCol w:w="80"/>
        <w:gridCol w:w="60"/>
        <w:gridCol w:w="125"/>
        <w:gridCol w:w="1010"/>
        <w:gridCol w:w="140"/>
      </w:tblGrid>
      <w:tr>
        <w:trPr/>
        <w:tc>
          <w:tcPr>
            <w:tcW w:w="59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214" w:name="xdx_49A_20250101__20251231_zz3HTQZI2UEk"/>
            <w:bookmarkEnd w:id="214"/>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215" w:name="xdx_49E_20240101__20241231_zcWCBcTcXFfh"/>
            <w:bookmarkEnd w:id="215"/>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4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Years Ended December 31,</w:t>
            </w:r>
            <w:r>
              <w:rPr>
                <w:rFonts w:ascii="Times New Roman;Times;Serif" w:hAnsi="Times New Roman;Times;Serif"/>
                <w:b w:val="false"/>
                <w:i w:val="false"/>
                <w:caps w:val="false"/>
                <w:smallCaps w:val="false"/>
                <w:sz w:val="20"/>
              </w:rPr>
              <w:t xml:space="preserve">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4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9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bookmarkStart w:id="216" w:name="xdx_404_eus-gaap--NetCashProvidedByUsedI"/>
            <w:bookmarkEnd w:id="216"/>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from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7" w:name="xdx_400_eus-gaap--NetIncomeLoss_i01_maNC"/>
            <w:bookmarkEnd w:id="217"/>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SEGG Media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(20,303,608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(28,221,605</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18" w:name="xdx_40A_eus-gaap--AdjustmentsNoncashItem"/>
            <w:bookmarkEnd w:id="218"/>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9" w:name="xdx_40B_ecustom--NetLossAttributableToNo"/>
            <w:bookmarkEnd w:id="219"/>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220,969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170,045</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0" w:name="xdx_40B_eus-gaap--DepreciationDepletionA"/>
            <w:bookmarkEnd w:id="220"/>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4,523,487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5,020,647</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1" w:name="xdx_404_eus-gaap--ShareBasedCompensation"/>
            <w:bookmarkEnd w:id="221"/>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1,640,274</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2" w:name="xdx_408_ecustom--StockIssuedInLieuOfCash"/>
            <w:bookmarkEnd w:id="222"/>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issued in lieu of cash 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9,746,138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9,352,892</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3" w:name="xdx_403_ecustom--StockIssuedForCommitFee"/>
            <w:bookmarkEnd w:id="223"/>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issued for commitment fee, stock purchase agreement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469,602</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4" w:name="xdx_40D_ecustom--WarrantsIssuedToRetireD"/>
            <w:bookmarkEnd w:id="224"/>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issued to retire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70,671</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5" w:name="xdx_406_eus-gaap--GoodwillAndIntangibleA"/>
            <w:bookmarkEnd w:id="225"/>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impairment of goodwill and intangibles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4,298,002</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6" w:name="xdx_40F_eus-gaap--IncreaseDecreaseInOper"/>
            <w:bookmarkEnd w:id="226"/>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assets &amp;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7" w:name="xdx_408_eus-gaap--IncreaseDecreaseInAcco"/>
            <w:bookmarkEnd w:id="227"/>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262,870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(438,543</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28" w:name="xdx_408_eus-gaap--IncreaseDecreaseInPrep"/>
            <w:bookmarkEnd w:id="228"/>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5,815,058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4,570,826</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9" w:name="xdx_40D_eus-gaap--IncreaseDecreaseInOthe"/>
            <w:bookmarkEnd w:id="229"/>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bookmarkStart w:id="230" w:name="xdx_401_eus-gaap--IncreaseDecreaseInOthe"/>
            <w:bookmarkEnd w:id="230"/>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 term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(3,911,862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26,671</w:t>
            </w:r>
          </w:p>
        </w:tc>
        <w:tc>
          <w:tcPr>
            <w:tcW w:w="140" w:type="dxa"/>
            <w:tcBorders/>
            <w:shd w:fill="FFFFFF" w:val="clear"/>
            <w:vAlign w:val="center"/>
          </w:tcPr>
          <w:p>
            <w:pPr>
              <w:pStyle w:val="TableContents"/>
              <w:bidi w:val="0"/>
              <w:spacing w:before="0" w:after="283"/>
              <w:jc w:val="left"/>
              <w:rPr>
                <w:sz w:val="4"/>
                <w:szCs w:val="4"/>
              </w:rPr>
            </w:pPr>
            <w:r>
              <w:rPr>
                <w:sz w:val="4"/>
                <w:szCs w:val="4"/>
              </w:rPr>
            </w:r>
            <w:bookmarkStart w:id="231" w:name="xdx_405_eus-gaap--IncreaseDecreaseInAcco"/>
            <w:bookmarkStart w:id="232" w:name="xdx_405_eus-gaap--IncreaseDecreaseInAcco"/>
            <w:bookmarkEnd w:id="232"/>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314,718</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(191,780</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3" w:name="xdx_40C_eus-gaap--IncreaseDecreaseInDefe"/>
            <w:bookmarkEnd w:id="233"/>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(228,010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(107,143</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4" w:name="xdx_40B_eus-gaap--IncreaseDecreaseInOthe"/>
            <w:bookmarkEnd w:id="234"/>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and other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1,351,296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461,604</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5" w:name="xdx_40D_eus-gaap--IncreaseDecreaseInOthe"/>
            <w:bookmarkEnd w:id="235"/>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(1,849,642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543,508</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6" w:name="xdx_40E_ecustom--IncreaseDecreaseInLiabi"/>
            <w:bookmarkEnd w:id="236"/>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for acquisition of subsidiary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704,560</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7" w:name="xdx_403_eus-gaap--NetCashProvidedByUsedI"/>
            <w:bookmarkEnd w:id="237"/>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by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(3,430,421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(1,879,769</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8" w:name="xdx_406_eus-gaap--NetCashProvidedByUsedI"/>
            <w:bookmarkEnd w:id="238"/>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from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9" w:name="xdx_408_eus-gaap--PaymentsToAcquireRestr"/>
            <w:bookmarkEnd w:id="239"/>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made as deposits for acquisitions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(2,816,849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0" w:name="xdx_400_eus-gaap--PaymentsToAcquireInves"/>
            <w:bookmarkEnd w:id="240"/>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subsidiaries,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(1,549,184</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41" w:name="xdx_40E_eus-gaap--ProceedsFromCollection"/>
            <w:bookmarkEnd w:id="241"/>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collection of note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2" w:name="xdx_400_eus-gaap--NetCashProvidedByUsedI"/>
            <w:bookmarkEnd w:id="242"/>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(2,566,849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(1,549,184</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3" w:name="xdx_40E_eus-gaap--NetCashProvidedByUsedI"/>
            <w:bookmarkEnd w:id="243"/>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from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4" w:name="xdx_40E_ecustom--ProceedsFromAccruedInte"/>
            <w:bookmarkEnd w:id="244"/>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338,168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359,989</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5" w:name="xdx_403_eus-gaap--ProceedsFromRepayments"/>
            <w:bookmarkEnd w:id="245"/>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(Payments) from stock purchase agreement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2,947,127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6" w:name="xdx_40A_eus-gaap--ProceedsFromRepayments"/>
            <w:bookmarkEnd w:id="246"/>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(Payments) from loans from execs and key consultants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375,667</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7" w:name="xdx_400_eus-gaap--ProceedsFromConvertibl"/>
            <w:bookmarkEnd w:id="247"/>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(Payments) from convertible notes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2,986,707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2,510,053</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8" w:name="xdx_40C_eus-gaap--NetCashProvidedByUsedI"/>
            <w:bookmarkEnd w:id="248"/>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6,272,002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3,245,709</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9" w:name="xdx_40B_eus-gaap--EffectOfExchangeRateOn"/>
            <w:bookmarkEnd w:id="249"/>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(171,243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(108,547</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0" w:name="xdx_40D_eus-gaap--CashCashEquivalentsRes"/>
            <w:bookmarkEnd w:id="250"/>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net cash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103,489</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(291,791</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1" w:name="xdx_40F_eus-gaap--CashCashEquivalentsRes"/>
            <w:bookmarkEnd w:id="251"/>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restricted cash at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359,826</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2" w:name="xdx_40E_eus-gaap--CashCashEquivalentsRes"/>
            <w:bookmarkEnd w:id="252"/>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restricted cash at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171,524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68,035</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3" w:name="xdx_409_eus-gaap--SupplementalCashFlowIn"/>
            <w:bookmarkEnd w:id="253"/>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Supplemental Disclosure of Cash Flow Information: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4" w:name="xdx_40F_eus-gaap--InterestPaidNet_i01_z5"/>
            <w:bookmarkEnd w:id="254"/>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paid in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4"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4"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4"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4"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5" w:name="xdx_401_eus-gaap--IncomeTaxesPaidNet_i01"/>
            <w:bookmarkEnd w:id="255"/>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Franchise taxes paid in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4"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381,842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4"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4"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6" w:name="xdx_407_eus-gaap--NoncashInvestingAndFin"/>
            <w:bookmarkEnd w:id="256"/>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Supplemental non-cash Operating, Investing, and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7" w:name="xdx_40E_ecustom--NoncashInvestingAndFina"/>
            <w:bookmarkEnd w:id="257"/>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issued for investing and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6,010,877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10,621,823</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8" w:name="xdx_403_ecustom--ConversionOfConvertible"/>
            <w:bookmarkEnd w:id="258"/>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issued from conversion of convertible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3,650,407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2,512,793</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9" w:name="xdx_40A_ecustom--PaymentsMadeViaIssuance"/>
            <w:bookmarkEnd w:id="259"/>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made via issuance of common stock in lieu of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4"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4"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9,729,646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4"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4"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9,363,102</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restated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260" w:name="f_006"/>
      <w:bookmarkEnd w:id="260"/>
      <w:r>
        <w:rPr>
          <w:rFonts w:ascii="Times New Roman;Times;Serif" w:hAnsi="Times New Roman;Times;Serif"/>
          <w:b w:val="false"/>
          <w:i w:val="false"/>
          <w:caps w:val="false"/>
          <w:smallCaps w:val="false"/>
          <w:sz w:val="20"/>
        </w:rPr>
        <w:t>SPORTS ENTERTAINMENT GAMING GLOBAL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1" w:name="xdx_802_eus-gaap--NatureOfOperations_zpL"/>
      <w:bookmarkEnd w:id="261"/>
      <w:r>
        <w:rPr>
          <w:rFonts w:ascii="Times New Roman;Times;Serif" w:hAnsi="Times New Roman;Times;Serif"/>
          <w:b/>
          <w:i w:val="false"/>
          <w:caps w:val="false"/>
          <w:smallCaps w:val="false"/>
          <w:sz w:val="20"/>
        </w:rPr>
        <w:t xml:space="preserve">Note 1. </w:t>
      </w:r>
      <w:bookmarkStart w:id="262" w:name="xdx_828_zhdc5F0QuaNj"/>
      <w:bookmarkEnd w:id="262"/>
      <w:r>
        <w:rPr>
          <w:rFonts w:ascii="Times New Roman;Times;Serif" w:hAnsi="Times New Roman;Times;Serif"/>
          <w:b/>
          <w:i w:val="false"/>
          <w:caps w:val="false"/>
          <w:smallCaps w:val="false"/>
          <w:sz w:val="20"/>
        </w:rPr>
        <w:t>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2025 and into fiscal year 2026, the Company has transitioned from a period of operational disruption and restructuring to a renewed focus on execution, revenue generation, and scalable growth. The Company</w:t>
      </w:r>
      <w:r>
        <w:rPr>
          <w:rFonts w:ascii="Times New Roman;Times;Serif" w:hAnsi="Times New Roman;Times;Serif"/>
          <w:b w:val="false"/>
          <w:i w:val="false"/>
          <w:caps w:val="false"/>
          <w:smallCaps w:val="false"/>
          <w:color w:val="0E0E0E"/>
          <w:sz w:val="20"/>
        </w:rPr>
        <w:t>’s strategy is centered on the development and monetization of a multi-vertical platform at the intersection of sports, entertainment, and gaming, supported by targeted acquisitions, proprietary technology, and international expansion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 Entertainment Gaming Global Corporation (formerly Lottery.com Inc., and prior to that Trident Acquisitions Corp.) is a Delaware corporation formed on March 17, 2016. On October 29, 2021, the Company consummated a business combination with AutoLotto, Inc. (“AutoLotto”), which became its primary operating subsidiary.</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changed its name to Sports Entertainment Gaming Global Corporation to reflect its transition to a diversified, technology-enabled platform operating at the intersection of sports, entertainment, and gaming.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SEGG’s strategy is focused on building and monetizing a portfolio of digital platforms, media assets, and operating businesses through disciplined capital allocation, targeted acquisitions, and scalable technology infrastructure.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Operational History and Transformation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the Company ceased substantially all operations due to liquidity constraints (the “Operational Cessation”). Since that time, the Company has executed a structured turnaround, including leadership changes, financial remediation, and the re-establishment of core operations.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2023 and accelerating through 2024 and 2025, the Company transitioned from restructuring to execution, with a focus on revenue generation, capital discipline, and platform expansion. The Company has prioritized initiatives that are either revenue-generating or have a clear path to near-term monetization.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 and Content Platforms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primary growth engine is its sports media platform, including Sports.com. Launched in 2024, Sports.com is designed to deliver global sports content, live event streaming, and audience engagement at scale.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Sports.com Media provided a foundation for the continued development and monetization of Sports.com, including opportunities across advertising, sponsorship, content distribution, and strategic partnerships. The Company has begun expanding its international footprint through live event streaming and targeted market entry initiatives.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broader media strategy also includes the development and monetization of entertainment-focused digital assets, including Concerts.com, which is intended to expand the Company’s reach into live entertainment, music content, and related experiences. These initiatives are designed to complement the Company’s sports media platform by increasing total addressable audience, diversifying content offerings, and creating additional monetization opportunities across advertising, sponsorship, and ticketing-related services. While these platforms are in earlier stages of development relative to Sports.com, management believes they represent a natural extension of the Company’s integrated media and engagement strategy.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Lottery and Gaming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operate its legacy lottery and gaming platform, which enables the remote purchase of legally sanctioned lottery games in permitted jurisdictions. While this segment remains operational, it is no longer the primary driver of the Company’s growth strategy. The current offering is a B2C Platform providing direct-to-consumer lottery services via mobile and web applications in Mexico.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Data, Technology and Digital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delivers proprietary data and technology solutions, including data feeds, live and curated sports content, analytics, and API-driven services. These capabilities support both internal platforms and third-party customers under contractual arrangements.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technology stack is a core asset that enables scalability across its media, gaming, and data-driven initiatives.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Strategic Acquisitions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growth strategy is supported by a disciplined acquisition program focused on assets that:</w:t>
      </w:r>
    </w:p>
    <w:p>
      <w:pPr>
        <w:pStyle w:val="TextBody"/>
        <w:bidi w:val="0"/>
        <w:spacing w:before="0" w:after="0"/>
        <w:ind w:left="360" w:right="0" w:hanging="0"/>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17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Generate or are expected to generate near-term revenue;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audience reach and engagement;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Strengthen the Company’s technology and content capabilities;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 overall enterprise value.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prioritizes transactions that can be funded through existing capital resources or that are expected to improve the balance sheet and reduce reliance on dilutive financing.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and Market Opportunity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model is derived from a combination of transactional sales of gaming and event tickets, subscriptions, data licensing, advertising, sponsorship, and content monetization streams across its platforms.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the Company’s integrated model positions it to participate in large and growing global markets, including digital sports media, gaming, and data services. The Company’s strategy is to leverage its platforms and acquisitions to aggregate audiences and increase engagement, which in turn supports the expansion of monetization opportunities across multiple revenue channels.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 scales its audience reach and platform capabilities, it expects to enhance revenue per user and expand margins through increased operating leverage, cross-platform integration, and the introduction of additional monetization features. The Company’s ability to execute on this strategy will depend on a number of factors, including successful integration of acquisitions, continued platform development, regulatory conditions, and overall market adoption.</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Environment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regulated industries, particularly within lottery and gaming, and is subject to applicable laws in each jurisdiction in which it operates. In addition, the Company is subject to regulations relating to data privacy, consumer protection, digital content, and information security.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Forward Strategy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focused on scaling its platform through:</w:t>
      </w:r>
    </w:p>
    <w:p>
      <w:pPr>
        <w:pStyle w:val="TextBody"/>
        <w:bidi w:val="0"/>
        <w:spacing w:before="0" w:after="0"/>
        <w:ind w:left="0" w:right="0" w:hanging="0"/>
        <w:jc w:val="left"/>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170"/>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of its sports media and content ecosystem;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Monetization of audience and engagement across digital channels;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execution of targeted, revenue-focused acquisitions;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expansion into international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the combination of media, gaming, and data-driven capabilities positions the Company to capture opportunities across large and growing global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3" w:name="xdx_80E_eus-gaap--SignificantAccountingP"/>
      <w:bookmarkEnd w:id="263"/>
      <w:r>
        <w:rPr>
          <w:rFonts w:ascii="Times New Roman;Times;Serif" w:hAnsi="Times New Roman;Times;Serif"/>
          <w:b/>
          <w:i w:val="false"/>
          <w:caps w:val="false"/>
          <w:smallCaps w:val="false"/>
          <w:sz w:val="20"/>
        </w:rPr>
        <w:t xml:space="preserve">Note 2. </w:t>
      </w:r>
      <w:bookmarkStart w:id="264" w:name="xdx_820_zQM9kkmUCYra"/>
      <w:bookmarkEnd w:id="264"/>
      <w:r>
        <w:rPr>
          <w:rFonts w:ascii="Times New Roman;Times;Serif" w:hAnsi="Times New Roman;Times;Serif"/>
          <w:b/>
          <w:i w:val="false"/>
          <w:caps w:val="false"/>
          <w:smallCaps w:val="false"/>
          <w:sz w:val="20"/>
        </w:rPr>
        <w:t>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bookmarkStart w:id="265" w:name="xdx_86C_zWwb59On9Cqi"/>
      <w:bookmarkStart w:id="266" w:name="xdx_84B_eus-gaap--BasisOfAccountingPolic"/>
      <w:bookmarkEnd w:id="265"/>
      <w:bookmarkEnd w:id="266"/>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conformity with accounting principles generally accepted in the United States of America (“</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 and include the accounts of the Company and its wholly owned operating subsidiaries. Any reference in these notes to applicable guidance is meant to refer to the authoritative United States generally accepted accounting principles as found in the Accounting Standards Codification (“</w:t>
      </w:r>
      <w:r>
        <w:rPr>
          <w:rFonts w:ascii="Times New Roman;Times;Serif" w:hAnsi="Times New Roman;Times;Serif"/>
          <w:b w:val="false"/>
          <w:i/>
          <w:caps w:val="false"/>
          <w:smallCaps w:val="false"/>
          <w:sz w:val="20"/>
        </w:rPr>
        <w:t>ASC</w:t>
      </w:r>
      <w:r>
        <w:rPr>
          <w:rFonts w:ascii="Times New Roman;Times;Serif" w:hAnsi="Times New Roman;Times;Serif"/>
          <w:b w:val="false"/>
          <w:i w:val="false"/>
          <w:caps w:val="false"/>
          <w:smallCaps w:val="false"/>
          <w:sz w:val="20"/>
        </w:rPr>
        <w:t>”) and Accounting Standards Update (“</w:t>
      </w:r>
      <w:r>
        <w:rPr>
          <w:rFonts w:ascii="Times New Roman;Times;Serif" w:hAnsi="Times New Roman;Times;Serif"/>
          <w:b w:val="false"/>
          <w:i/>
          <w:caps w:val="false"/>
          <w:smallCaps w:val="false"/>
          <w:sz w:val="20"/>
        </w:rPr>
        <w:t>ASU</w:t>
      </w:r>
      <w:r>
        <w:rPr>
          <w:rFonts w:ascii="Times New Roman;Times;Serif" w:hAnsi="Times New Roman;Times;Serif"/>
          <w:b w:val="false"/>
          <w:i w:val="false"/>
          <w:caps w:val="false"/>
          <w:smallCaps w:val="false"/>
          <w:sz w:val="20"/>
        </w:rPr>
        <w:t>”) of the Financial Accounting Standards Board (“</w:t>
      </w:r>
      <w:r>
        <w:rPr>
          <w:rFonts w:ascii="Times New Roman;Times;Serif" w:hAnsi="Times New Roman;Times;Serif"/>
          <w:b w:val="false"/>
          <w:i/>
          <w:caps w:val="false"/>
          <w:smallCaps w:val="false"/>
          <w:sz w:val="20"/>
        </w:rPr>
        <w:t>FASB</w:t>
      </w:r>
      <w:r>
        <w:rPr>
          <w:rFonts w:ascii="Times New Roman;Times;Serif" w:hAnsi="Times New Roman;Times;Serif"/>
          <w:b w:val="false"/>
          <w:i w:val="false"/>
          <w:caps w:val="false"/>
          <w:smallCaps w:val="false"/>
          <w:sz w:val="20"/>
        </w:rPr>
        <w:t>”). All intercompany accounts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u w:val="single"/>
        </w:rPr>
      </w:pPr>
      <w:bookmarkStart w:id="267" w:name="xdx_86E_zzHC7LvnnXZk"/>
      <w:bookmarkStart w:id="268" w:name="xdx_84E_ecustom--GoingConcernPolicyTextB"/>
      <w:bookmarkEnd w:id="267"/>
      <w:bookmarkEnd w:id="268"/>
      <w:r>
        <w:rPr>
          <w:rFonts w:ascii="Times New Roman;Times;Serif" w:hAnsi="Times New Roman;Times;Serif"/>
          <w:b w:val="false"/>
          <w:i w:val="false"/>
          <w:caps w:val="false"/>
          <w:smallCaps w:val="false"/>
          <w:sz w:val="20"/>
          <w:u w:val="single"/>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of accounting, which contemplates continuity of operations, realization of assets and classification of liabilities and commitments in the normal course of business. The accompanying consolidated financial statements do not reflect any adjustments relating to the recoverability and classification of recorded asset amounts or the amounts and classifications of liabilities that might result if the Company is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Financial Accounting Standards Board’s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these financial statements are issued. This evaluation does not take into consideration the potential mitigating effect of management’s plans that have not been fully implemented or are not within control of the Company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2022 Operational Cessation, the Company has experienced recurring net losses and negative cash flows from operations and has on a consolidated basis an accumulated deficit of approximately $</w:t>
      </w:r>
      <w:bookmarkStart w:id="269" w:name="xdx_90B_eus-gaap--RetainedEarningsAccumu"/>
      <w:bookmarkEnd w:id="269"/>
      <w:r>
        <w:rPr>
          <w:rFonts w:ascii="Times New Roman;Times;Serif" w:hAnsi="Times New Roman;Times;Serif"/>
          <w:b w:val="false"/>
          <w:i w:val="false"/>
          <w:caps w:val="false"/>
          <w:smallCaps w:val="false"/>
          <w:sz w:val="20"/>
        </w:rPr>
        <w:t>284 million and working capital of approximately negative $</w:t>
      </w:r>
      <w:bookmarkStart w:id="270" w:name="xdx_908_ecustom--WorkingCapital_iNI_pn5n"/>
      <w:bookmarkEnd w:id="270"/>
      <w:r>
        <w:rPr>
          <w:rFonts w:ascii="Times New Roman;Times;Serif" w:hAnsi="Times New Roman;Times;Serif"/>
          <w:b w:val="false"/>
          <w:i w:val="false"/>
          <w:caps w:val="false"/>
          <w:smallCaps w:val="false"/>
          <w:sz w:val="20"/>
        </w:rPr>
        <w:t>19.0 million on December 31, 2025. For the year ending December 31, 2025, the Company sustained a net loss of $</w:t>
      </w:r>
      <w:bookmarkStart w:id="271" w:name="xdx_903_eus-gaap--ProfitLoss_iN_pn5n6_di"/>
      <w:bookmarkEnd w:id="271"/>
      <w:r>
        <w:rPr>
          <w:rFonts w:ascii="Times New Roman;Times;Serif" w:hAnsi="Times New Roman;Times;Serif"/>
          <w:b w:val="false"/>
          <w:i w:val="false"/>
          <w:caps w:val="false"/>
          <w:smallCaps w:val="false"/>
          <w:sz w:val="20"/>
        </w:rPr>
        <w:t>20.8 million. The Company sustained a loss from operations of $</w:t>
      </w:r>
      <w:bookmarkStart w:id="272" w:name="xdx_903_ecustom--OperatingIncomeLosses_i"/>
      <w:bookmarkEnd w:id="272"/>
      <w:r>
        <w:rPr>
          <w:rFonts w:ascii="Times New Roman;Times;Serif" w:hAnsi="Times New Roman;Times;Serif"/>
          <w:b w:val="false"/>
          <w:i w:val="false"/>
          <w:caps w:val="false"/>
          <w:smallCaps w:val="false"/>
          <w:sz w:val="20"/>
        </w:rPr>
        <w:t>17.9 million and $</w:t>
      </w:r>
      <w:bookmarkStart w:id="273" w:name="xdx_90F_ecustom--OperatingIncomeLosses_i"/>
      <w:bookmarkEnd w:id="273"/>
      <w:r>
        <w:rPr>
          <w:rFonts w:ascii="Times New Roman;Times;Serif" w:hAnsi="Times New Roman;Times;Serif"/>
          <w:b w:val="false"/>
          <w:i w:val="false"/>
          <w:caps w:val="false"/>
          <w:smallCaps w:val="false"/>
          <w:sz w:val="20"/>
        </w:rPr>
        <w:t>18.3 million for the years ending December 31, 2025 and 2024, respectively. Subsequently, the Company sustained additional operating losses and anticipates additional operating losses for the next twelve months. These conditions raise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historically funded its activities almost exclusively from debt and equity financing. Management’s plans in order to meet its operating cash flow requirements include financing activities such as private placements of its common stock, preferred stock offerings, and issuances of debt and convertible debt. Although Management believes that it will be able to continue to raise funds by sale of its securities or by issuing convertible debt obligations to provide the additional cash needed to meet the Company’s obligations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continue as a going concern for the next twelve months from the issuance of these financial statements depends on its ability to execute the business plans for the launch of its new business initiatives, the successful monetization of Sports.com, supporting legacy operations, and keeping expenditures in line with available operating capital. Such conditions raise substantial doubt about the Company’s ability to continue as a going concern.</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74" w:name="xdx_868_zydFfnmk0fw3"/>
      <w:bookmarkStart w:id="275" w:name="xdx_849_eus-gaap--BusinessCombinationsPo"/>
      <w:bookmarkEnd w:id="274"/>
      <w:bookmarkEnd w:id="275"/>
      <w:r>
        <w:rPr>
          <w:rFonts w:ascii="Times New Roman;Times;Serif" w:hAnsi="Times New Roman;Times;Serif"/>
          <w:b w:val="false"/>
          <w:i w:val="false"/>
          <w:caps w:val="false"/>
          <w:smallCaps w:val="false"/>
          <w:sz w:val="20"/>
          <w:u w:val="single"/>
        </w:rPr>
        <w:t>Impact of Trident Acquisition Corp.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accounted for the October 29, 2021 Business Combination as a reverse recapitalization whereby AutoLotto was determined as the accounting acquirer and Trident Acquisition Corp. (“TDAC”) as the accounting acquiree. This determination was primarily based 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AutoLotto stockholders having the largest voting interest in Lottery.com Inc. (“Lottery.com”);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Lottery.com having 7 members, and AutoLotto’s former stockholders having the ability to nominate the majority of the members of the board of directors;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AutoLotto management continuing to hold executive management roles for the post-combination company and being responsible for the day-to-day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post-combination company assuming the Lottery.com name;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Lottery.com maintaining the pre-existing AutoLotto headquarters; and the intended strategy of Lottery.com being a continuation of AutoLotto’s strategy.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Business Combination was treated as the equivalent of AutoLotto issuing stock for the net assets of TDAC, accompanied by a recapitalization. The net assets of TDAC are stated at historical cost, with no goodwill or other intangible assets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TDAC was the legal acquirer in the Business Combination, because AutoLotto was determined as the accounting acquirer, the historical financial statements of AutoLotto became the historical financial statements of the combined company, upon the consummation of the Business Combination. As a result, the financial statements included in the accompanying consolidated financial statements reflect (i) the historical operating results of AutoLotto prior to the Business Combination; (ii) the combined results of the Company and AutoLotto following the closing of the Business Combination; (iii) the assets and liabilities of AutoLotto at their historical cost; and (iv) the Company’s equity structure for all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transaction, we have converted the equity structure for the periods prior to the Business Combination to reflect the number of shares of the Company’s common stock issued to AutoLotto’s stockholders in connection with the recapitalization transaction. As such, the shares, corresponding capital amounts and earnings per share, as applicable, related to AutoLotto convertible preferred stock and common stock prior to the Business Combination have been retroactively converted by applying the exchange ratio established in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76" w:name="xdx_861_zPCJUqKhE3m6"/>
      <w:bookmarkStart w:id="277" w:name="xdx_840_ecustom--NoncontrollingInterests"/>
      <w:bookmarkEnd w:id="276"/>
      <w:bookmarkEnd w:id="277"/>
      <w:r>
        <w:rPr>
          <w:rFonts w:ascii="Times New Roman;Times;Serif" w:hAnsi="Times New Roman;Times;Serif"/>
          <w:b w:val="false"/>
          <w:i w:val="false"/>
          <w:caps w:val="false"/>
          <w:smallCaps w:val="false"/>
          <w:sz w:val="20"/>
          <w:u w:val="single"/>
        </w:rPr>
        <w:t>Non-controlling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 represents the proportionate ownership of Aganar and JuegaLotto held by minority members and reflects their capital investments as well as their proportionate interest in subsidiary losses and other changes in members’ equity, including translation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78" w:name="xdx_86B_zhyh7gFNjEA"/>
      <w:bookmarkStart w:id="279" w:name="xdx_845_eus-gaap--SegmentReportingPolicy"/>
      <w:bookmarkEnd w:id="278"/>
      <w:bookmarkEnd w:id="279"/>
      <w:r>
        <w:rPr>
          <w:rFonts w:ascii="Times New Roman;Times;Serif" w:hAnsi="Times New Roman;Times;Serif"/>
          <w:b w:val="false"/>
          <w:i w:val="false"/>
          <w:caps w:val="false"/>
          <w:smallCaps w:val="false"/>
          <w:sz w:val="20"/>
          <w:u w:val="single"/>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segments are defined as components of an enterprise for which discrete financial information is available and is regularly reviewed by the Company’s chief operating decision maker (“CODM”) to allocate resources and assess performance in accordance with </w:t>
      </w:r>
      <w:r>
        <w:rPr>
          <w:rFonts w:ascii="Times New Roman;Times;Serif" w:hAnsi="Times New Roman;Times;Serif"/>
          <w:b w:val="false"/>
          <w:i w:val="false"/>
          <w:caps w:val="false"/>
          <w:smallCaps w:val="false"/>
          <w:sz w:val="20"/>
          <w:u w:val="single"/>
        </w:rPr>
        <w:t>ASC 280 – Segment Reporting</w:t>
      </w:r>
      <w:r>
        <w:rPr>
          <w:rFonts w:ascii="Times New Roman;Times;Serif" w:hAnsi="Times New Roman;Times;Serif"/>
          <w:b w:val="false"/>
          <w:i w:val="false"/>
          <w:caps w:val="false"/>
          <w:smallCaps w:val="false"/>
          <w:sz w:val="20"/>
        </w:rPr>
        <w:t>. We determined that our Chief Financial Officer is the Chief Operating Decision Maker</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operated as a single-reporting unit focused on its lottery and gaming platform, and its organizational structure, internal reporting systems, and resource allocation processes were aligned accordingly. As a result, the Company previously operated as one operating and reportable segment.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Company’s strategic transformation and expansion into a broader sports, entertainment, and gaming ecosystem, including the development and monetization of Sports.com and related media, technology, and experiential assets, the Company is in the process of evolving its internal reporting structure to reflect these distinct business activities.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reporting date, the CODM continues to evaluate financial performance and allocate resources on a consolidated basis; however, management is actively assessing whether the Company’s emerging business lines—principally gaming, sports media, and entertainment—meet the criteria for separate operating and reportable segments under ASC 280.</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that, as these business verticals continue to scale and discrete financial information becomes more routinely reviewed by the CODM, it may present disaggregated segment information in future filings.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80" w:name="xdx_860_zHUiUzpI7iXc"/>
      <w:bookmarkStart w:id="281" w:name="xdx_843_eus-gaap--ConcentrationRiskCredi"/>
      <w:bookmarkEnd w:id="280"/>
      <w:bookmarkEnd w:id="281"/>
      <w:r>
        <w:rPr>
          <w:rFonts w:ascii="Times New Roman;Times;Serif" w:hAnsi="Times New Roman;Times;Serif"/>
          <w:b w:val="false"/>
          <w:i w:val="false"/>
          <w:caps w:val="false"/>
          <w:smallCaps w:val="false"/>
          <w:sz w:val="20"/>
          <w:u w:val="single"/>
        </w:rPr>
        <w:t>Concentration of Credit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are potentially subject to concentrations of credit risk are primarily cash. Cash holdings are placed with major financial institutions deemed to be of high-credit-quality in order to limit credit exposure. The Company maintains deposits and certificates of deposit with banks which may exceed the Federal Deposit Insurance Corporation (“FDIC”) insured limit and money market accounts which are not FDIC insured. In addition, deposits aggregating approximately $</w:t>
      </w:r>
      <w:bookmarkStart w:id="282" w:name="xdx_907_eus-gaap--CashUninsuredAmount_iI"/>
      <w:bookmarkStart w:id="283" w:name="xdx_905_eus-gaap--CashFDICInsuredAmount_"/>
      <w:bookmarkEnd w:id="282"/>
      <w:bookmarkEnd w:id="283"/>
      <w:r>
        <w:rPr>
          <w:rFonts w:ascii="Times New Roman;Times;Serif" w:hAnsi="Times New Roman;Times;Serif"/>
          <w:b w:val="false"/>
          <w:i w:val="false"/>
          <w:caps w:val="false"/>
          <w:smallCaps w:val="false"/>
          <w:sz w:val="20"/>
        </w:rPr>
        <w:t>315,159 at June 29, 2026 are held in foreign banks. Management believes the risk of loss in connection with these accounts is minimal.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84" w:name="xdx_865_zdJZFLEys1pb"/>
      <w:bookmarkStart w:id="285" w:name="xdx_842_eus-gaap--UseOfEstimates_zJhUVW5"/>
      <w:bookmarkEnd w:id="284"/>
      <w:bookmarkEnd w:id="285"/>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requires management to make estimates and assumptions to determine the reported amounts of assets, liabilities, revenue and expenses. Although management believes these estimates are reasonable, actual results could differ from these estimates. The Company evaluates its estimates on an ongoing basis and prepares its estimates on historical experience and other assumptions the Company believes to be reasonable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86" w:name="xdx_868_zx3FbIHesKVg"/>
      <w:bookmarkStart w:id="287" w:name="xdx_844_eus-gaap--PriorPeriodReclassific"/>
      <w:bookmarkEnd w:id="286"/>
      <w:bookmarkEnd w:id="287"/>
      <w:r>
        <w:rPr>
          <w:rFonts w:ascii="Times New Roman;Times;Serif" w:hAnsi="Times New Roman;Times;Serif"/>
          <w:b w:val="false"/>
          <w:i w:val="false"/>
          <w:caps w:val="false"/>
          <w:smallCaps w:val="false"/>
          <w:sz w:val="20"/>
          <w:u w:val="single"/>
        </w:rPr>
        <w:t>Reclassifications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balances have been reclassified in the accompanying consolidated financial statements to conform to the current year presentation. These reclassifications had no effect on the balances of current or total assets and prior year’s net loss or accumulated deficit.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88" w:name="xdx_860_zoI3mgUYwzce"/>
      <w:bookmarkStart w:id="289" w:name="xdx_84D_eus-gaap--ForeignCurrencyTransac"/>
      <w:bookmarkEnd w:id="288"/>
      <w:bookmarkEnd w:id="289"/>
      <w:r>
        <w:rPr>
          <w:rFonts w:ascii="Times New Roman;Times;Serif" w:hAnsi="Times New Roman;Times;Serif"/>
          <w:b w:val="false"/>
          <w:i w:val="false"/>
          <w:caps w:val="false"/>
          <w:smallCaps w:val="false"/>
          <w:sz w:val="20"/>
          <w:u w:val="single"/>
        </w:rPr>
        <w:t>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of subsidiaries operating outside the United States with a functional currency other than U.S. Dollars are translated into U.S. Dollars using year-end exchange rates. Sales, costs and expenses are translated at the average exchange rates in effect during the year. For Global Gaming, translations are from Mexican Pesos [MXN] to U.S. Dollars. For Sports.com Media translations are from British Pounds [GBP] to U.S. Dollars. Foreign currency translation gains and losses are included as a component of accumulated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90" w:name="xdx_84D_eus-gaap--CashAndCashEquivalents"/>
      <w:bookmarkEnd w:id="290"/>
      <w:r>
        <w:rPr>
          <w:rFonts w:ascii="Times New Roman;Times;Serif" w:hAnsi="Times New Roman;Times;Serif"/>
          <w:b w:val="false"/>
          <w:i w:val="false"/>
          <w:caps w:val="false"/>
          <w:smallCaps w:val="false"/>
          <w:sz w:val="20"/>
          <w:u w:val="single"/>
        </w:rPr>
        <w:t>Cash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cash was comprised of cash deposits, and there were no deposits with banks which exceeded federally insured limits with the majority of cash for the parent company held in one financial institution. Management believes all financial institutions holding its cash are of high credit quality and does not believe the Company is subject to unusual credit risk beyond the normal credit risk associated with commercial banking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w:t>
      </w:r>
      <w:bookmarkStart w:id="291" w:name="xdx_90A_eus-gaap--MarketableSecuritiesCu"/>
      <w:bookmarkStart w:id="292" w:name="xdx_90D_eus-gaap--MarketableSecuritiesCu"/>
      <w:bookmarkEnd w:id="291"/>
      <w:bookmarkEnd w:id="292"/>
      <w:r>
        <w:rPr>
          <w:rFonts w:ascii="Times New Roman;Times;Serif" w:hAnsi="Times New Roman;Times;Serif"/>
          <w:b w:val="false"/>
          <w:i w:val="false"/>
          <w:caps w:val="false"/>
          <w:smallCaps w:val="false"/>
          <w:sz w:val="20"/>
        </w:rPr>
        <w:t>no marketable securities as of December 31, 2025 and December 31,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93" w:name="xdx_868_zoGPGt3drPT8"/>
      <w:bookmarkStart w:id="294" w:name="xdx_840_eus-gaap--TradeAndOtherAccountsR"/>
      <w:bookmarkEnd w:id="293"/>
      <w:bookmarkEnd w:id="294"/>
      <w:r>
        <w:rPr>
          <w:rFonts w:ascii="Times New Roman;Times;Serif" w:hAnsi="Times New Roman;Times;Serif"/>
          <w:b w:val="false"/>
          <w:i w:val="false"/>
          <w:caps w:val="false"/>
          <w:smallCaps w:val="false"/>
          <w:sz w:val="20"/>
          <w:u w:val="single"/>
        </w:rPr>
        <w:t>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through its various merchant providers pre-authorizes forms of payment prior to the sale of digital representation of lottery games to minimize exposure to losses related to uncollected payments and does not extend credit to the user of the B2C Platform or the commercial partner of the B2B API, which are its customers, in the normal course of business. The Company estimates its bad debt exposure each period and records a bad debt provision for accounts receivable it believes it may not collect in full. In the fall of 2024, the Company completed a project whereby certain older items in accounts receivable for the TinBu subsidiary were offset against the allowance for uncollectible receivables, resulting in a reduction in the number of individual items in accounts receivable which were aged greater than 90 days and the total amount for them. At the completion of this project, the balance in the allowance for uncollectible receivables was $</w:t>
      </w:r>
      <w:bookmarkStart w:id="295" w:name="xdx_900_eus-gaap--AllowanceForDoubtfulAc"/>
      <w:bookmarkEnd w:id="295"/>
      <w:r>
        <w:rPr>
          <w:rFonts w:ascii="Times New Roman;Times;Serif" w:hAnsi="Times New Roman;Times;Serif"/>
          <w:b w:val="false"/>
          <w:i w:val="false"/>
          <w:caps w:val="false"/>
          <w:smallCaps w:val="false"/>
          <w:sz w:val="20"/>
        </w:rPr>
        <w:t>33,000 on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Fall of 2025, the Company completed a similar project and offset older items in accounts receivable for the TinBu subsidiary against the allowance for uncollectible receivables. Approximately $</w:t>
      </w:r>
      <w:bookmarkStart w:id="296" w:name="xdx_902_eus-gaap--ValuationAllowancesAnd"/>
      <w:bookmarkEnd w:id="296"/>
      <w:r>
        <w:rPr>
          <w:rFonts w:ascii="Times New Roman;Times;Serif" w:hAnsi="Times New Roman;Times;Serif"/>
          <w:b w:val="false"/>
          <w:i w:val="false"/>
          <w:caps w:val="false"/>
          <w:smallCaps w:val="false"/>
          <w:sz w:val="20"/>
        </w:rPr>
        <w:t>55,000 representing individual items aged greater than 90 days was written-off against the allowance leaving approximately $</w:t>
      </w:r>
      <w:bookmarkStart w:id="297" w:name="xdx_901_eus-gaap--AccountsReceivableNetC"/>
      <w:bookmarkEnd w:id="297"/>
      <w:r>
        <w:rPr>
          <w:rFonts w:ascii="Times New Roman;Times;Serif" w:hAnsi="Times New Roman;Times;Serif"/>
          <w:b w:val="false"/>
          <w:i w:val="false"/>
          <w:caps w:val="false"/>
          <w:smallCaps w:val="false"/>
          <w:sz w:val="20"/>
        </w:rPr>
        <w:t xml:space="preserve">8,000 aged greater than 90 days in accounts receivable and reducing the allowance for uncollectable receivables to </w:t>
      </w:r>
      <w:bookmarkStart w:id="298" w:name="xdx_907_eus-gaap--AllowanceForDoubtfulAc"/>
      <w:bookmarkEnd w:id="298"/>
      <w:r>
        <w:rPr>
          <w:rFonts w:ascii="Times New Roman;Times;Serif" w:hAnsi="Times New Roman;Times;Serif"/>
          <w:b w:val="false"/>
          <w:i w:val="false"/>
          <w:caps w:val="false"/>
          <w:smallCaps w:val="false"/>
          <w:sz w:val="20"/>
        </w:rPr>
        <w:t>zero. At December 31, 2025 the allowance for uncollectible receivables was $</w:t>
      </w:r>
      <w:bookmarkStart w:id="299" w:name="xdx_900_eus-gaap--AllowanceForDoubtfulAc"/>
      <w:bookmarkEnd w:id="299"/>
      <w:r>
        <w:rPr>
          <w:rFonts w:ascii="Times New Roman;Times;Serif" w:hAnsi="Times New Roman;Times;Serif"/>
          <w:b w:val="false"/>
          <w:i w:val="false"/>
          <w:caps w:val="false"/>
          <w:smallCaps w:val="false"/>
          <w:sz w:val="20"/>
        </w:rPr>
        <w:t>0 whereas, it was $</w:t>
      </w:r>
      <w:bookmarkStart w:id="300" w:name="xdx_90A_eus-gaap--AllowanceForDoubtfulAc"/>
      <w:bookmarkEnd w:id="300"/>
      <w:r>
        <w:rPr>
          <w:rFonts w:ascii="Times New Roman;Times;Serif" w:hAnsi="Times New Roman;Times;Serif"/>
          <w:b w:val="false"/>
          <w:i w:val="false"/>
          <w:caps w:val="false"/>
          <w:smallCaps w:val="false"/>
          <w:sz w:val="20"/>
        </w:rPr>
        <w:t>33,000 at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301" w:name="xdx_86E_zU1aplE2ZHJk"/>
      <w:bookmarkStart w:id="302" w:name="xdx_848_ecustom--PrepaidExpensesPolicyTe"/>
      <w:bookmarkEnd w:id="301"/>
      <w:bookmarkEnd w:id="302"/>
      <w:r>
        <w:rPr>
          <w:rFonts w:ascii="Times New Roman;Times;Serif" w:hAnsi="Times New Roman;Times;Serif"/>
          <w:b w:val="false"/>
          <w:i w:val="false"/>
          <w:caps w:val="false"/>
          <w:smallCaps w:val="false"/>
          <w:sz w:val="20"/>
          <w:u w:val="single"/>
        </w:rPr>
        <w:t>Prepaid Expenses for Advertising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consist of payments made on contractual obligations for services to be consumed in future periods. The Company entered into an agreement with two third parties to provide advertising services and issued equity instruments as compensation for the advertising services (“Prepaid advertising credits”). The Company expenses the service as it is performed by the third parties. The value of the services provided were used to value these contracts, except for the year ended December 31, 2021 the Company reserved for potential inability to realize $</w:t>
      </w:r>
      <w:bookmarkStart w:id="303" w:name="xdx_909_eus-gaap--PrepaidAdvertising_iI_"/>
      <w:bookmarkEnd w:id="303"/>
      <w:r>
        <w:rPr>
          <w:rFonts w:ascii="Times New Roman;Times;Serif" w:hAnsi="Times New Roman;Times;Serif"/>
          <w:b w:val="false"/>
          <w:i w:val="false"/>
          <w:caps w:val="false"/>
          <w:smallCaps w:val="false"/>
          <w:sz w:val="20"/>
        </w:rPr>
        <w:t>2,000,000 of prepaid advertising credits in future periods. For the period ending December 31, 2025, the Company determined that an estimated $</w:t>
      </w:r>
      <w:bookmarkStart w:id="304" w:name="xdx_906_eus-gaap--PrepaidAdvertising_iI_"/>
      <w:bookmarkEnd w:id="304"/>
      <w:r>
        <w:rPr>
          <w:rFonts w:ascii="Times New Roman;Times;Serif" w:hAnsi="Times New Roman;Times;Serif"/>
          <w:b w:val="false"/>
          <w:i w:val="false"/>
          <w:caps w:val="false"/>
          <w:smallCaps w:val="false"/>
          <w:sz w:val="20"/>
        </w:rPr>
        <w:t>5,688,000 of prepaid advertising credits purchased during 2017 and 2018 may not be able to be fully utilized. As a result, the Company decreased prepaid expenses by $</w:t>
      </w:r>
      <w:bookmarkStart w:id="305" w:name="xdx_90C_eus-gaap--IncreaseDecreaseInPrep"/>
      <w:bookmarkEnd w:id="305"/>
      <w:r>
        <w:rPr>
          <w:rFonts w:ascii="Times New Roman;Times;Serif" w:hAnsi="Times New Roman;Times;Serif"/>
          <w:b w:val="false"/>
          <w:i w:val="false"/>
          <w:caps w:val="false"/>
          <w:smallCaps w:val="false"/>
          <w:sz w:val="20"/>
        </w:rPr>
        <w:t>5,688,000 and increased its reserve for loss of prepaid advertising credits by $</w:t>
      </w:r>
      <w:bookmarkStart w:id="306" w:name="xdx_907_eus-gaap--IncreaseDecreaseInPrep"/>
      <w:bookmarkEnd w:id="306"/>
      <w:r>
        <w:rPr>
          <w:rFonts w:ascii="Times New Roman;Times;Serif" w:hAnsi="Times New Roman;Times;Serif"/>
          <w:b w:val="false"/>
          <w:i w:val="false"/>
          <w:caps w:val="false"/>
          <w:smallCaps w:val="false"/>
          <w:sz w:val="20"/>
        </w:rPr>
        <w:t>5,688,000 for the year ended December 31, 2025. Similarly, for the period ending December 31, 2024, the Company determined that approximately an estimated additional $</w:t>
      </w:r>
      <w:bookmarkStart w:id="307" w:name="xdx_900_eus-gaap--PrepaidAdvertising_iI_"/>
      <w:bookmarkEnd w:id="307"/>
      <w:r>
        <w:rPr>
          <w:rFonts w:ascii="Times New Roman;Times;Serif" w:hAnsi="Times New Roman;Times;Serif"/>
          <w:b w:val="false"/>
          <w:i w:val="false"/>
          <w:caps w:val="false"/>
          <w:smallCaps w:val="false"/>
          <w:sz w:val="20"/>
        </w:rPr>
        <w:t>4,745,000 of prepaid advertising credits purchased during 2017 and 2018 might not be able to be fully utilized. As a result, the Company decreased prepaid expenses by $</w:t>
      </w:r>
      <w:bookmarkStart w:id="308" w:name="xdx_90C_eus-gaap--IncreaseDecreaseInPrep"/>
      <w:bookmarkEnd w:id="308"/>
      <w:r>
        <w:rPr>
          <w:rFonts w:ascii="Times New Roman;Times;Serif" w:hAnsi="Times New Roman;Times;Serif"/>
          <w:b w:val="false"/>
          <w:i w:val="false"/>
          <w:caps w:val="false"/>
          <w:smallCaps w:val="false"/>
          <w:sz w:val="20"/>
        </w:rPr>
        <w:t>4,745,000 and increased its reserve for loss of prepaid advertising credits by $</w:t>
      </w:r>
      <w:bookmarkStart w:id="309" w:name="xdx_90F_eus-gaap--IncreaseDecreaseInPrep"/>
      <w:bookmarkEnd w:id="309"/>
      <w:r>
        <w:rPr>
          <w:rFonts w:ascii="Times New Roman;Times;Serif" w:hAnsi="Times New Roman;Times;Serif"/>
          <w:b w:val="false"/>
          <w:i w:val="false"/>
          <w:caps w:val="false"/>
          <w:smallCaps w:val="false"/>
          <w:sz w:val="20"/>
        </w:rPr>
        <w:t>4,745,000 for the year ended December 31, 2024. Prepaid expenses are included in current assets on the consolidated balance sheets. The Company had total remaining prepaid expenses of $</w:t>
      </w:r>
      <w:bookmarkStart w:id="310" w:name="xdx_90D_eus-gaap--IncreaseDecreaseInPrep"/>
      <w:bookmarkEnd w:id="310"/>
      <w:r>
        <w:rPr>
          <w:rFonts w:ascii="Times New Roman;Times;Serif" w:hAnsi="Times New Roman;Times;Serif"/>
          <w:b w:val="false"/>
          <w:i w:val="false"/>
          <w:caps w:val="false"/>
          <w:smallCaps w:val="false"/>
          <w:sz w:val="20"/>
        </w:rPr>
        <w:t>8,634,275 and $</w:t>
      </w:r>
      <w:bookmarkStart w:id="311" w:name="xdx_908_eus-gaap--IncreaseDecreaseInPrep"/>
      <w:bookmarkEnd w:id="311"/>
      <w:r>
        <w:rPr>
          <w:rFonts w:ascii="Times New Roman;Times;Serif" w:hAnsi="Times New Roman;Times;Serif"/>
          <w:b w:val="false"/>
          <w:i w:val="false"/>
          <w:caps w:val="false"/>
          <w:smallCaps w:val="false"/>
          <w:sz w:val="20"/>
        </w:rPr>
        <w:t>14,449,333 for the years ended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312" w:name="xdx_861_zxRWOfqtRLgg"/>
      <w:bookmarkStart w:id="313" w:name="xdx_844_eus-gaap--InvestmentPolicyTextBl"/>
      <w:bookmarkEnd w:id="312"/>
      <w:bookmarkEnd w:id="313"/>
      <w:r>
        <w:rPr>
          <w:rFonts w:ascii="Times New Roman;Times;Serif" w:hAnsi="Times New Roman;Times;Serif"/>
          <w:b w:val="false"/>
          <w:i w:val="false"/>
          <w:caps w:val="false"/>
          <w:smallCaps w:val="false"/>
          <w:sz w:val="20"/>
          <w:u w:val="single"/>
        </w:rPr>
        <w:t>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 2018, AutoLotto purchased </w:t>
      </w:r>
      <w:bookmarkStart w:id="314" w:name="xdx_90A_eus-gaap--StockIssuedDuringPerio"/>
      <w:bookmarkEnd w:id="314"/>
      <w:r>
        <w:rPr>
          <w:rFonts w:ascii="Times New Roman;Times;Serif" w:hAnsi="Times New Roman;Times;Serif"/>
          <w:b w:val="false"/>
          <w:i w:val="false"/>
          <w:caps w:val="false"/>
          <w:smallCaps w:val="false"/>
          <w:sz w:val="20"/>
        </w:rPr>
        <w:t xml:space="preserve">186,666 shares of Class A-1 common stock of a third-party business development partner representing </w:t>
      </w:r>
      <w:bookmarkStart w:id="315" w:name="xdx_901_ecustom--OutstandingSharesPercen"/>
      <w:bookmarkEnd w:id="315"/>
      <w:r>
        <w:rPr>
          <w:rFonts w:ascii="Times New Roman;Times;Serif" w:hAnsi="Times New Roman;Times;Serif"/>
          <w:b w:val="false"/>
          <w:i w:val="false"/>
          <w:caps w:val="false"/>
          <w:smallCaps w:val="false"/>
          <w:sz w:val="20"/>
        </w:rPr>
        <w:t xml:space="preserve">4% of the total outstanding shares of the company. As this investment resulted in less than </w:t>
      </w:r>
      <w:bookmarkStart w:id="316" w:name="xdx_90C_eus-gaap--EquityMethodInvestment"/>
      <w:bookmarkEnd w:id="316"/>
      <w:r>
        <w:rPr>
          <w:rFonts w:ascii="Times New Roman;Times;Serif" w:hAnsi="Times New Roman;Times;Serif"/>
          <w:b w:val="false"/>
          <w:i w:val="false"/>
          <w:caps w:val="false"/>
          <w:smallCaps w:val="false"/>
          <w:sz w:val="20"/>
        </w:rPr>
        <w:t>20% ownership, it was accounted for using the cost basis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317" w:name="xdx_861_zSOB1AUWFBtd"/>
      <w:bookmarkStart w:id="318" w:name="xdx_847_eus-gaap--PropertyPlantAndEquipm"/>
      <w:bookmarkEnd w:id="317"/>
      <w:bookmarkEnd w:id="318"/>
      <w:r>
        <w:rPr>
          <w:rFonts w:ascii="Times New Roman;Times;Serif" w:hAnsi="Times New Roman;Times;Serif"/>
          <w:b w:val="false"/>
          <w:i w:val="false"/>
          <w:caps w:val="false"/>
          <w:smallCaps w:val="false"/>
          <w:sz w:val="20"/>
          <w:u w:val="single"/>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Depreciation and amortization are generally computed using the straight-line method over estimated useful lives ranging from three</w:t>
      </w:r>
      <w:bookmarkStart w:id="319" w:name="xdx_90B_eus-gaap--PropertyPlantAndEquipm"/>
      <w:bookmarkEnd w:id="319"/>
      <w:r>
        <w:rPr>
          <w:rFonts w:ascii="Times New Roman;Times;Serif" w:hAnsi="Times New Roman;Times;Serif"/>
          <w:b w:val="false"/>
          <w:i w:val="false"/>
          <w:caps w:val="false"/>
          <w:smallCaps w:val="false"/>
          <w:sz w:val="20"/>
        </w:rPr>
        <w:t xml:space="preserve">3 to </w:t>
      </w:r>
      <w:bookmarkStart w:id="320" w:name="xdx_904_eus-gaap--PropertyPlantAndEquipm"/>
      <w:bookmarkEnd w:id="320"/>
      <w:r>
        <w:rPr>
          <w:rFonts w:ascii="Times New Roman;Times;Serif" w:hAnsi="Times New Roman;Times;Serif"/>
          <w:b w:val="false"/>
          <w:i w:val="false"/>
          <w:caps w:val="false"/>
          <w:smallCaps w:val="false"/>
          <w:sz w:val="20"/>
        </w:rPr>
        <w:t>five years. Leasehold improvements are amortized over the shorter of the lease term or the estimated useful life of the asset. Routine maintenance and repair costs are expensed as incurred. The costs of major additions, replacements and improvements are capitalized. Gains and losses realized on the sale or disposal of property and equipment are recognized or charged to other expense in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1" w:name="xdx_89D_eus-gaap--ScheduleOfPublicUtilit"/>
      <w:bookmarkEnd w:id="321"/>
      <w:r>
        <w:rPr>
          <w:rFonts w:ascii="Times New Roman;Times;Serif" w:hAnsi="Times New Roman;Times;Serif"/>
          <w:b w:val="false"/>
          <w:i w:val="false"/>
          <w:caps w:val="false"/>
          <w:smallCaps w:val="false"/>
          <w:sz w:val="20"/>
        </w:rPr>
        <w:t>Depreciation of property and equipment is computed using the straight-line method over the following estimated useful lives: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22" w:name="xdx_8BF_zxntzuFt7wH6"/>
      <w:bookmarkEnd w:id="322"/>
      <w:r>
        <w:rPr>
          <w:rFonts w:ascii="Times New Roman;Times;Serif" w:hAnsi="Times New Roman;Times;Serif"/>
          <w:b w:val="false"/>
          <w:i w:val="false"/>
          <w:caps w:val="false"/>
          <w:smallCaps w:val="false"/>
          <w:sz w:val="20"/>
        </w:rPr>
        <w:t>Schedule of Depreciation of Property and Equipment </w:t>
      </w:r>
    </w:p>
    <w:tbl>
      <w:tblPr>
        <w:tblW w:w="3310" w:type="dxa"/>
        <w:jc w:val="left"/>
        <w:tblInd w:w="0" w:type="dxa"/>
        <w:tblLayout w:type="fixed"/>
        <w:tblCellMar>
          <w:top w:w="0" w:type="dxa"/>
          <w:left w:w="0" w:type="dxa"/>
          <w:bottom w:w="0" w:type="dxa"/>
          <w:right w:w="0" w:type="dxa"/>
        </w:tblCellMar>
      </w:tblPr>
      <w:tblGrid>
        <w:gridCol w:w="2525"/>
        <w:gridCol w:w="60"/>
        <w:gridCol w:w="60"/>
        <w:gridCol w:w="590"/>
        <w:gridCol w:w="75"/>
      </w:tblGrid>
      <w:tr>
        <w:trPr/>
        <w:tc>
          <w:tcPr>
            <w:tcW w:w="2525" w:type="dxa"/>
            <w:tcBorders/>
            <w:shd w:fill="CCEEFF" w:val="clear"/>
            <w:vAlign w:val="center"/>
          </w:tcPr>
          <w:p>
            <w:pPr>
              <w:pStyle w:val="TableContents"/>
              <w:bidi w:val="0"/>
              <w:spacing w:before="0" w:after="283"/>
              <w:jc w:val="left"/>
              <w:rPr/>
            </w:pPr>
            <w:r>
              <w:rPr/>
              <w:t>Computers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bookmarkStart w:id="323" w:name="xdx_90F_eus-gaap--PropertyPlantAndEquipm"/>
            <w:bookmarkEnd w:id="323"/>
            <w:r>
              <w:rPr>
                <w:rFonts w:ascii="Times New Roman;Times;Serif" w:hAnsi="Times New Roman;Times;Serif"/>
                <w:sz w:val="20"/>
              </w:rPr>
              <w:t>3 years</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bookmarkStart w:id="324" w:name="xdx_902_eus-gaap--PropertyPlantAndEquipm"/>
            <w:bookmarkEnd w:id="324"/>
            <w:r>
              <w:rPr>
                <w:rFonts w:ascii="Times New Roman;Times;Serif" w:hAnsi="Times New Roman;Times;Serif"/>
                <w:sz w:val="20"/>
              </w:rPr>
              <w:t>5 years</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Software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bookmarkStart w:id="325" w:name="xdx_902_eus-gaap--PropertyPlantAndEquipm"/>
            <w:bookmarkEnd w:id="325"/>
            <w:r>
              <w:rPr>
                <w:rFonts w:ascii="Times New Roman;Times;Serif" w:hAnsi="Times New Roman;Times;Serif"/>
                <w:sz w:val="20"/>
              </w:rPr>
              <w:t>3 years</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26" w:name="xdx_8AD_z0jRphpyyrc3"/>
      <w:bookmarkEnd w:id="326"/>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327" w:name="xdx_86B_zcIbW6ckoKBb"/>
      <w:bookmarkStart w:id="328" w:name="xdx_844_eus-gaap--LesseeLeasesPolicyText"/>
      <w:bookmarkEnd w:id="327"/>
      <w:bookmarkEnd w:id="328"/>
      <w:r>
        <w:rPr>
          <w:rFonts w:ascii="Times New Roman;Times;Serif" w:hAnsi="Times New Roman;Times;Serif"/>
          <w:b w:val="false"/>
          <w:i w:val="false"/>
          <w:caps w:val="false"/>
          <w:smallCaps w:val="false"/>
          <w:sz w:val="20"/>
          <w:u w:val="single"/>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(“ROU assets”) represent the Company’s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Variable lease payments are not included in the calculation of the right-of-use asset and lease liability due to uncertainty of the payment amount and are recorded as lease expense in the period incurred. As most of the leases do not provide an implicit rate, the Company used its incremental borrowing rate based on the information available at commencement date in determining the present value of lease payments. Otherwise, the implicit rate was used when readily determinable. The lease terms may include options to extend or terminate the lease when it is reasonably certain that the Company will exercise that option. Lease expense for lease payments is recognized on a straight-line basis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available practical expedient, the Company accounts for the lease and non-lease components as a single lease component for all classes of underlying assets as both a lessee and lessor. Further, management elected a short-term lease exception policy on all classes of underlying assets, permitting the Company to not apply the recognition requirements of this standard to short-term leases (i.e. leases with terms of 12 months or less).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329" w:name="xdx_86A_zbGsURejPYcd"/>
      <w:bookmarkStart w:id="330" w:name="xdx_847_eus-gaap--ResearchDevelopmentAnd"/>
      <w:bookmarkEnd w:id="329"/>
      <w:bookmarkEnd w:id="330"/>
      <w:r>
        <w:rPr>
          <w:rFonts w:ascii="Times New Roman;Times;Serif" w:hAnsi="Times New Roman;Times;Serif"/>
          <w:b w:val="false"/>
          <w:i w:val="false"/>
          <w:caps w:val="false"/>
          <w:smallCaps w:val="false"/>
          <w:sz w:val="20"/>
          <w:u w:val="single"/>
        </w:rPr>
        <w:t>Internal Use Software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development costs incurred internally to develop software programs to be used solely to meet our internal needs and applications are capitalized once the preliminary project stage is complete and it is probable that the project will be completed and the software will be used to perform the intended function. Additionally, we capitalize qualifying costs incurred for upgrades and enhancements to existing software that result in additional functionality. Costs related to preliminary project planning activities, post-implementation activities, maintenance and minor modifications are expensed as incurred. Internal-use software development costs are amortized on a straight-line basis over the estimated useful life of the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331" w:name="xdx_86D_zFS08CTAbw3j"/>
      <w:bookmarkStart w:id="332" w:name="xdx_843_eus-gaap--GoodwillAndIntangibleA"/>
      <w:bookmarkEnd w:id="331"/>
      <w:bookmarkEnd w:id="332"/>
      <w:r>
        <w:rPr>
          <w:rFonts w:ascii="Times New Roman;Times;Serif" w:hAnsi="Times New Roman;Times;Serif"/>
          <w:b w:val="false"/>
          <w:i w:val="false"/>
          <w:caps w:val="false"/>
          <w:smallCaps w:val="false"/>
          <w:sz w:val="20"/>
          <w:u w:val="single"/>
        </w:rPr>
        <w:t>Goodwill and Other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cost of assets acquired over the fair value of the net assets at the date of acquisition. Intangible assets represent the fair value of separately recognizable intangible assets acquired in connection with the Company’s business combinations. The Company evaluates its goodwill and other intangibles for impairment on an annual basis or whenever events or circumstances indicate that an impairment may have occurred in accordance with the provisions of ASC 350, “</w:t>
      </w:r>
      <w:r>
        <w:rPr>
          <w:rFonts w:ascii="Times New Roman;Times;Serif" w:hAnsi="Times New Roman;Times;Serif"/>
          <w:b w:val="false"/>
          <w:i/>
          <w:caps w:val="false"/>
          <w:smallCaps w:val="false"/>
          <w:sz w:val="20"/>
        </w:rPr>
        <w:t>Goodwill and Other Intangible 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333" w:name="xdx_86F_z6PTNESyJ21g"/>
      <w:bookmarkStart w:id="334" w:name="xdx_84B_eus-gaap--RevenueRecognitionPoli"/>
      <w:bookmarkEnd w:id="333"/>
      <w:bookmarkEnd w:id="334"/>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new standard, Accounting Standards Update (“ASU”) 2014-09, “</w:t>
      </w:r>
      <w:r>
        <w:rPr>
          <w:rFonts w:ascii="Times New Roman;Times;Serif" w:hAnsi="Times New Roman;Times;Serif"/>
          <w:b w:val="false"/>
          <w:i/>
          <w:caps w:val="false"/>
          <w:smallCaps w:val="false"/>
          <w:sz w:val="20"/>
        </w:rPr>
        <w:t>Revenue from Contracts with Customers (Topic 606)</w:t>
      </w:r>
      <w:r>
        <w:rPr>
          <w:rFonts w:ascii="Times New Roman;Times;Serif" w:hAnsi="Times New Roman;Times;Serif"/>
          <w:b w:val="false"/>
          <w:i w:val="false"/>
          <w:caps w:val="false"/>
          <w:smallCaps w:val="false"/>
          <w:sz w:val="20"/>
        </w:rPr>
        <w:t>”, the Company recognizes revenues when the following criteria are met: (i) persuasive evidence of a contract with a customer exists; (ii) identifiable performance obligations under the contract exist; (iii) the transaction price is determinable for each performance obligation; (iv) the transaction price is allocated to each performance obligation; and (v) when the performance obligations are satisfied. Revenues are recognized when control of the promised goods or services is transferred to the customers in an amount that reflects the consideration expected to be entitled to in exchange for those goods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335" w:name="xdx_865_zOVCt0Ibz7I5"/>
      <w:bookmarkStart w:id="336" w:name="xdx_84B_ecustom--LotteryGameRevenuePolic"/>
      <w:bookmarkEnd w:id="335"/>
      <w:bookmarkEnd w:id="336"/>
      <w:r>
        <w:rPr>
          <w:rFonts w:ascii="Times New Roman;Times;Serif" w:hAnsi="Times New Roman;Times;Serif"/>
          <w:b w:val="false"/>
          <w:i w:val="false"/>
          <w:caps w:val="false"/>
          <w:smallCaps w:val="false"/>
          <w:sz w:val="20"/>
          <w:u w:val="single"/>
        </w:rPr>
        <w:t>Lottery game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that fall under this revenue classification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Lottery game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obligations of delivering lottery games are satisfied at the time in which the digital representation of the lottery game is delivered to the user of the B2C, therefore, are recognized at a point in time. The Company receives consideration for lottery game sales at the time of delivery to the customer, which may be the user or commercial partner, as applicable. There is no variable consideration related to lottery game sales. As each individual lottery game delivered represents a distinct performance obligation and consideration for each game sale is fixed, representing the standalone selling price, there is no allocation of consideration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Accounting Standards Codification (“ASC”) 606, the Company evaluates the presentation of revenue on a gross versus net basis dependent on if the Company is a principal or agent. In making this evaluation, some of the factors that are considered include whether the Company has control over the specified good or services before they are transferred to the customer. The Company also assesses if it is primarily responsible for fulfilling the promise to provide the goods or services, has inventory risk, and has discretion in establishing the price. For all of the Company’s transactions, management concluded that gross presentation is appropriate, as the Company is primarily responsible for providing the performance obligation directly to the customers and assumes fulfillment risk of all lottery game sales as it retains physical possession of lottery game sales tickets from time of sale until the point of redemption. The Company also retains inventory risk on all lottery game sales tickets as they would be responsible for any potential winnings related to lost or unredeemable tickets at the time of redemption. Finally, while states have the authority to establish lottery game sales prices, the Company can add service fees to ticket prices evidencing its ability to establish the ultimate price of the lottery tickets being sold.</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Arrangements with multiple performance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with customers may include multiple performance obligations. For such arrangements, management allocates revenue to each performance obligation based on its relative standalone selling price. Management generally determines standalone selling prices based on the prices charged to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deferred revenue when cash payments are received or due in advance of any performance, including amounts which are refundable.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terms vary by the type and location of the customer and the products or services offered. The term between invoicing and when payment is due is not significant. For certain products or services and customer types, management requires payment before the products or services are delivered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nature of the Company’s services and contracts, it has no contract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assessed by a governmental authority that are both imposed on and concurrent with specific revenue-producing transactions, that are collected by us from a customer, are excluded from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337" w:name="xdx_867_zhWJpezTU40g"/>
      <w:bookmarkStart w:id="338" w:name="xdx_84F_eus-gaap--CostOfSalesPolicyTextB"/>
      <w:bookmarkEnd w:id="337"/>
      <w:bookmarkEnd w:id="338"/>
      <w:r>
        <w:rPr>
          <w:rFonts w:ascii="Times New Roman;Times;Serif" w:hAnsi="Times New Roman;Times;Serif"/>
          <w:b w:val="false"/>
          <w:i w:val="false"/>
          <w:caps w:val="false"/>
          <w:smallCaps w:val="false"/>
          <w:sz w:val="20"/>
          <w:u w:val="single"/>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consists primarily of payments to lottery providers and partners, data acquisition costs, content and media production expenses, platform and transaction processing fees, and affiliate commissions. Costs are recognized as incurred and are matched to the period in which the related revenue is recognized. Certain costs, such as revenue share arrangements, are recognized concurrently with the associated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339" w:name="xdx_86E_zwyXwC50ljCd"/>
      <w:bookmarkStart w:id="340" w:name="xdx_84C_eus-gaap--ShareBasedCompensation"/>
      <w:bookmarkEnd w:id="339"/>
      <w:bookmarkEnd w:id="340"/>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October 1, 2019, the Company adopted ASU 2018-07, </w:t>
      </w:r>
      <w:r>
        <w:rPr>
          <w:rFonts w:ascii="Times New Roman;Times;Serif" w:hAnsi="Times New Roman;Times;Serif"/>
          <w:b w:val="false"/>
          <w:i/>
          <w:caps w:val="false"/>
          <w:smallCaps w:val="false"/>
          <w:sz w:val="20"/>
        </w:rPr>
        <w:t xml:space="preserve">Compensation - “Stock Compensation (Topic 718): Improvements to Nonemployee Share-based Payment Accounting” </w:t>
      </w:r>
      <w:r>
        <w:rPr>
          <w:rFonts w:ascii="Times New Roman;Times;Serif" w:hAnsi="Times New Roman;Times;Serif"/>
          <w:b w:val="false"/>
          <w:i w:val="false"/>
          <w:caps w:val="false"/>
          <w:smallCaps w:val="false"/>
          <w:sz w:val="20"/>
        </w:rPr>
        <w:t xml:space="preserve">(“ASC 718”), which addresses aspects of the accounting for nonemployee share-based payment transactions and accounts for share-based awards to employees in accordance with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Under this guidance, stock compensation expense is measured at the grant date, based on the fair value of the award, and is recognized as an expense over the estimated service period (generally the vesting period) on the straight-line attribute method.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bookmarkStart w:id="341" w:name="xdx_86E_zKPOBwELLJeb"/>
      <w:bookmarkStart w:id="342" w:name="xdx_845_eus-gaap--AdvertisingCostsPolicy"/>
      <w:bookmarkEnd w:id="341"/>
      <w:bookmarkEnd w:id="342"/>
      <w:r>
        <w:rPr>
          <w:rFonts w:ascii="Times New Roman;Times;Serif" w:hAnsi="Times New Roman;Times;Serif"/>
          <w:b w:val="false"/>
          <w:i w:val="false"/>
          <w:caps w:val="false"/>
          <w:smallCaps w:val="false"/>
          <w:sz w:val="20"/>
          <w:u w:val="single"/>
        </w:rPr>
        <w:t>Advertising Costs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charged to operations when incurred. Advertising costs for the years ended December 31, 2025 and 2024 were approximately $</w:t>
      </w:r>
      <w:bookmarkStart w:id="343" w:name="xdx_90E_eus-gaap--AdvertisingExpense_c20"/>
      <w:bookmarkEnd w:id="343"/>
      <w:r>
        <w:rPr>
          <w:rFonts w:ascii="Times New Roman;Times;Serif" w:hAnsi="Times New Roman;Times;Serif"/>
          <w:b w:val="false"/>
          <w:i w:val="false"/>
          <w:caps w:val="false"/>
          <w:smallCaps w:val="false"/>
          <w:sz w:val="20"/>
        </w:rPr>
        <w:t>1,248,000 and $</w:t>
      </w:r>
      <w:bookmarkStart w:id="344" w:name="xdx_908_eus-gaap--AdvertisingExpense_c20"/>
      <w:bookmarkEnd w:id="344"/>
      <w:r>
        <w:rPr>
          <w:rFonts w:ascii="Times New Roman;Times;Serif" w:hAnsi="Times New Roman;Times;Serif"/>
          <w:b w:val="false"/>
          <w:i w:val="false"/>
          <w:caps w:val="false"/>
          <w:smallCaps w:val="false"/>
          <w:sz w:val="20"/>
        </w:rPr>
        <w:t>104,000 respectively .</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345" w:name="xdx_86F_za4O9oIoEkTj"/>
      <w:bookmarkStart w:id="346" w:name="xdx_84F_eus-gaap--IncomeTaxPolicyTextBlo"/>
      <w:bookmarkEnd w:id="345"/>
      <w:bookmarkEnd w:id="346"/>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both financial accounting and tax reporting purposes, the Company reports income and expenses based on the accrual method of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and state income tax purposes, the Company reports income or loss from their investments in limited liability companies on the consolidated income tax returns. As such, all taxable income and available tax credits are passed from the limited liability companies to the individual members. It is the responsibility of the individual members to report the taxable income and tax credits, and to pay any resulting income taxes. Therefore, the income and losses incurred by the limited liability companies have been consolidated in the Company’s tax return and provision based upon its relative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in accordance with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(“ASC 740”),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is provided for those deferred tax assets for which it is more likely than not that the related benefit will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records uncertain tax positions in accordance with ASC 740 </w:t>
      </w:r>
      <w:bookmarkStart w:id="347" w:name="xdx_902_eus-gaap--IncomeTaxExaminationLi"/>
      <w:bookmarkEnd w:id="347"/>
      <w:r>
        <w:rPr>
          <w:rFonts w:ascii="Times New Roman;Times;Serif" w:hAnsi="Times New Roman;Times;Serif"/>
          <w:b w:val="false"/>
          <w:i w:val="false"/>
          <w:caps w:val="false"/>
          <w:smallCaps w:val="false"/>
          <w:sz w:val="20"/>
        </w:rPr>
        <w:t>on the basis of a two-step process in which (i) the Company determines whether it is more likely than not that the tax positions will be sustained on the basis of the technical merits of the position; and (ii) for those tax positions that meet the more likely than not recognition threshold, the Company recognizes the largest amount of tax benefit that is more than 50 percent likely to be realized upon ultimate settlement with the related tax authority. The Company’s policy is to recognize interest and penalties related to the underpayment of income taxes as a component of income tax expense or benefit. To date, there have been no interest or penalties charged in relation to the unrecognized tax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taxing authorities can audit the previous three years of tax returns and in certain situations audit additional years. For federal tax purposes, the Company’s 2021 through 2024 tax years generally remain open for examination by the tax authorities under the normal three-year statute of limitations. For state tax purposes, the Company’s 2021 through 2024 tax years remain open for examination by the tax authorities under the normal four-year statute of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348" w:name="xdx_865_zZJgu2N15ti2"/>
      <w:bookmarkStart w:id="349" w:name="xdx_846_eus-gaap--FairValueOfFinancialIn"/>
      <w:bookmarkEnd w:id="348"/>
      <w:bookmarkEnd w:id="349"/>
      <w:r>
        <w:rPr>
          <w:rFonts w:ascii="Times New Roman;Times;Serif" w:hAnsi="Times New Roman;Times;Serif"/>
          <w:b w:val="false"/>
          <w:i w:val="false"/>
          <w:caps w:val="false"/>
          <w:smallCaps w:val="false"/>
          <w:sz w:val="20"/>
          <w:u w:val="single"/>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determines the fair value of its financial instruments in accordance with the provisions of ASC 820, </w:t>
      </w:r>
      <w:r>
        <w:rPr>
          <w:rFonts w:ascii="Times New Roman;Times;Serif" w:hAnsi="Times New Roman;Times;Serif"/>
          <w:b w:val="false"/>
          <w:i/>
          <w:caps w:val="false"/>
          <w:smallCaps w:val="false"/>
          <w:sz w:val="20"/>
        </w:rPr>
        <w:t xml:space="preserve">Fair Value Measurements and Disclosures </w:t>
      </w:r>
      <w:r>
        <w:rPr>
          <w:rFonts w:ascii="Times New Roman;Times;Serif" w:hAnsi="Times New Roman;Times;Serif"/>
          <w:b w:val="false"/>
          <w:i w:val="false"/>
          <w:caps w:val="false"/>
          <w:smallCaps w:val="false"/>
          <w:sz w:val="20"/>
        </w:rPr>
        <w:t>(“ASC 820”)</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which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Unadjusted quoted prices in active markets that are accessible at the measurement date for identical, unrestricted assets or liabilities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Quoted prices in markets that are not active, or inputs that are observable, either directly or indirectly, for substantially the full term of the asset or liability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Valuation is generated from model-based techniques that use significant assumptions not observable in the market. These unobservable assumptions reflect our own estimates of assumptions that market participants would use in pricing the asset or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fair value and the resulting hierarchy requires the use of observable market data whenever available.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classification of an asset or liability in the hierarchy is based upon the lowest level of input that is significant to the measurement of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350" w:name="xdx_867_zZEqRDzTBGCj"/>
      <w:bookmarkStart w:id="351" w:name="xdx_84A_ecustom--FairValueOfStockOptions"/>
      <w:bookmarkEnd w:id="350"/>
      <w:bookmarkEnd w:id="351"/>
      <w:r>
        <w:rPr>
          <w:rFonts w:ascii="Times New Roman;Times;Serif" w:hAnsi="Times New Roman;Times;Serif"/>
          <w:b w:val="false"/>
          <w:i w:val="false"/>
          <w:caps w:val="false"/>
          <w:smallCaps w:val="false"/>
          <w:sz w:val="20"/>
          <w:u w:val="single"/>
        </w:rPr>
        <w:t>Fair value of stock options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uses the Black-Scholes option-pricing model to calculate the fair value of stock options and warrants. Use of this method requires management to make assumptions and estimates about the expected life of options and warrants, anticipated forfeitures, the risk-free rate, and the volatility of the Company’s share price. In making these assumptions and estimates, management relies on historical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352" w:name="xdx_868_zWydHUw0kEph"/>
      <w:bookmarkStart w:id="353" w:name="xdx_842_eus-gaap--NewAccountingPronounce"/>
      <w:bookmarkEnd w:id="352"/>
      <w:bookmarkEnd w:id="353"/>
      <w:r>
        <w:rPr>
          <w:rFonts w:ascii="Times New Roman;Times;Serif" w:hAnsi="Times New Roman;Times;Serif"/>
          <w:b w:val="false"/>
          <w:i w:val="false"/>
          <w:caps w:val="false"/>
          <w:smallCaps w:val="false"/>
          <w:sz w:val="20"/>
          <w:u w:val="single"/>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FASB issued ASU 2023-07, </w:t>
      </w:r>
      <w:r>
        <w:rPr>
          <w:rFonts w:ascii="Times New Roman;Times;Serif" w:hAnsi="Times New Roman;Times;Serif"/>
          <w:b w:val="false"/>
          <w:i/>
          <w:caps w:val="false"/>
          <w:smallCaps w:val="false"/>
          <w:sz w:val="20"/>
        </w:rPr>
        <w:t>Segment Reporting (Topic 280): Improvements to Reportable Segment Disclosures</w:t>
      </w:r>
      <w:r>
        <w:rPr>
          <w:rFonts w:ascii="Times New Roman;Times;Serif" w:hAnsi="Times New Roman;Times;Serif"/>
          <w:b w:val="false"/>
          <w:i w:val="false"/>
          <w:caps w:val="false"/>
          <w:smallCaps w:val="false"/>
          <w:sz w:val="20"/>
        </w:rPr>
        <w:t>, which requires enhanced disclosures regarding significant segment expenses and other segment items for entities that report segment information under ASC 280. The amendments do not change the definition of a segment, the method for determining reportable segments, or the criteria for aggregating operating segments. The Company adopted ASU 2023-07 effective January 1, 2024 for annual reporting purposes. The adoption did not have a material impact on the Company’s consolidated financial statements but required expanded segment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2016, the FASB issued ASU 2016-13, </w:t>
      </w:r>
      <w:r>
        <w:rPr>
          <w:rFonts w:ascii="Times New Roman;Times;Serif" w:hAnsi="Times New Roman;Times;Serif"/>
          <w:b w:val="false"/>
          <w:i/>
          <w:caps w:val="false"/>
          <w:smallCaps w:val="false"/>
          <w:sz w:val="20"/>
        </w:rPr>
        <w:t>Financial Instruments—Credit Losses (Topic 326): Measurement of Credit Losses on Financial Instruments</w:t>
      </w:r>
      <w:r>
        <w:rPr>
          <w:rFonts w:ascii="Times New Roman;Times;Serif" w:hAnsi="Times New Roman;Times;Serif"/>
          <w:b w:val="false"/>
          <w:i w:val="false"/>
          <w:caps w:val="false"/>
          <w:smallCaps w:val="false"/>
          <w:sz w:val="20"/>
        </w:rPr>
        <w:t>, which requires expected credit losses on financial assets held at the reporting date to be measured based on historical experience, current conditions, and reasonable and supportable forecasts. The Company adopted ASU 2016-13 effective January 1, 2023. The adoption did not have a material impact on the Company’s consolidated financial statements or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54" w:name="xdx_864_zVDjWyvv0KI4"/>
      <w:bookmarkStart w:id="355" w:name="xdx_840_ecustom--RecentAccountingPronoun"/>
      <w:bookmarkEnd w:id="354"/>
      <w:bookmarkEnd w:id="355"/>
      <w:r>
        <w:rPr>
          <w:rFonts w:ascii="Times New Roman;Times;Serif" w:hAnsi="Times New Roman;Times;Serif"/>
          <w:b w:val="false"/>
          <w:i w:val="false"/>
          <w:caps w:val="false"/>
          <w:smallCaps w:val="false"/>
          <w:sz w:val="20"/>
          <w:u w:val="single"/>
        </w:rPr>
        <w:t>Recent Accounting Pronouncements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which requires enhanced income tax disclosures, including additional information in the effective tax rate reconciliation and expanded disclosures of income taxes paid. ASU 2023-09 is effective for fiscal years beginning after December 15, 2024, with early adoption permitted. The Company is currently evaluating the effect of adopting this standard on its consolidated financial statement disclosures. </w:t>
      </w:r>
    </w:p>
    <w:p>
      <w:pPr>
        <w:pStyle w:val="TextBody"/>
        <w:bidi w:val="0"/>
        <w:spacing w:before="0" w:after="0"/>
        <w:ind w:left="0" w:right="0" w:hanging="0"/>
        <w:jc w:val="both"/>
        <w:rPr>
          <w:caps w:val="false"/>
          <w:smallCaps w:val="false"/>
        </w:rPr>
      </w:pPr>
      <w:bookmarkStart w:id="356" w:name="xdx_858_zE2QFvRKXtPj"/>
      <w:bookmarkEnd w:id="356"/>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57" w:name="xdx_805_eus-gaap--BusinessCombinationDis"/>
      <w:bookmarkEnd w:id="357"/>
      <w:r>
        <w:rPr>
          <w:rFonts w:ascii="Times New Roman;Times;Serif" w:hAnsi="Times New Roman;Times;Serif"/>
          <w:b/>
          <w:i w:val="false"/>
          <w:caps w:val="false"/>
          <w:smallCaps w:val="false"/>
          <w:sz w:val="20"/>
        </w:rPr>
        <w:t xml:space="preserve">Note 3. </w:t>
      </w:r>
      <w:bookmarkStart w:id="358" w:name="xdx_82A_zXatXdPCwaIi"/>
      <w:bookmarkEnd w:id="358"/>
      <w:r>
        <w:rPr>
          <w:rFonts w:ascii="Times New Roman;Times;Serif" w:hAnsi="Times New Roman;Times;Serif"/>
          <w:b/>
          <w:i w:val="false"/>
          <w:caps w:val="false"/>
          <w:smallCaps w:val="false"/>
          <w:sz w:val="20"/>
        </w:rPr>
        <w:t>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TDAC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29, 2021, the Company and AutoLotto consummated the transactions contemplated by the Merger Agreement. At the Closing, each share of common stock and preferred stock of AutoLotto that was issued and outstanding immediately prior to the effective time of the Merger (other than excluded shares as contemplated by the Merger Agreement) was cancelled and converted into the right to receive approximately </w:t>
      </w:r>
      <w:bookmarkStart w:id="359" w:name="xdx_900_eus-gaap--ConversionOfStockShare"/>
      <w:bookmarkEnd w:id="359"/>
      <w:r>
        <w:rPr>
          <w:rFonts w:ascii="Times New Roman;Times;Serif" w:hAnsi="Times New Roman;Times;Serif"/>
          <w:b w:val="false"/>
          <w:i w:val="false"/>
          <w:caps w:val="false"/>
          <w:smallCaps w:val="false"/>
          <w:sz w:val="20"/>
        </w:rPr>
        <w:t>3.0058 shares (the “Exchange Ratio”) of Lottery.com. common stock.</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closing was a triggering event for the Series B convertible notes, of which $</w:t>
      </w:r>
      <w:bookmarkStart w:id="360" w:name="xdx_90E_eus-gaap--ConversionOfStockAmoun"/>
      <w:bookmarkEnd w:id="360"/>
      <w:r>
        <w:rPr>
          <w:rFonts w:ascii="Times New Roman;Times;Serif" w:hAnsi="Times New Roman;Times;Serif"/>
          <w:b w:val="false"/>
          <w:i w:val="false"/>
          <w:caps w:val="false"/>
          <w:smallCaps w:val="false"/>
          <w:sz w:val="20"/>
        </w:rPr>
        <w:t xml:space="preserve">63.8 million was converted into </w:t>
      </w:r>
      <w:bookmarkStart w:id="361" w:name="xdx_903_eus-gaap--ConversionOfStockShare"/>
      <w:bookmarkEnd w:id="361"/>
      <w:r>
        <w:rPr>
          <w:rFonts w:ascii="Times New Roman;Times;Serif" w:hAnsi="Times New Roman;Times;Serif"/>
          <w:b w:val="false"/>
          <w:i w:val="false"/>
          <w:caps w:val="false"/>
          <w:smallCaps w:val="false"/>
          <w:sz w:val="20"/>
        </w:rPr>
        <w:t xml:space="preserve">16,243 shares of AutoLotto that were then converted into </w:t>
      </w:r>
      <w:bookmarkStart w:id="362" w:name="xdx_90F_eus-gaap--ConversionOfStockShare"/>
      <w:bookmarkEnd w:id="362"/>
      <w:r>
        <w:rPr>
          <w:rFonts w:ascii="Times New Roman;Times;Serif" w:hAnsi="Times New Roman;Times;Serif"/>
          <w:b w:val="false"/>
          <w:i w:val="false"/>
          <w:caps w:val="false"/>
          <w:smallCaps w:val="false"/>
          <w:sz w:val="20"/>
        </w:rPr>
        <w:t>48,823 shares of Lottery.com common stock using the Exchange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each option to purchase AutoLotto’s common stock, whether vested or unvested, was assumed and converted into an option to purchase a number of shares of Lottery.com common stock in the manner set forth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accounted for the Business Combination as a reverse recapitalization whereby AutoLotto was determined as the accounting acquirer and TDAC as the accounting acquiree. Refer to </w:t>
      </w:r>
      <w:r>
        <w:rPr>
          <w:rFonts w:ascii="Times New Roman;Times;Serif" w:hAnsi="Times New Roman;Times;Serif"/>
          <w:b w:val="false"/>
          <w:i/>
          <w:caps w:val="false"/>
          <w:smallCaps w:val="false"/>
          <w:sz w:val="20"/>
        </w:rPr>
        <w:t>Note 2, Summary of Significant Accounting Policies</w:t>
      </w:r>
      <w:r>
        <w:rPr>
          <w:rFonts w:ascii="Times New Roman;Times;Serif" w:hAnsi="Times New Roman;Times;Serif"/>
          <w:b w:val="false"/>
          <w:i w:val="false"/>
          <w:caps w:val="false"/>
          <w:smallCaps w:val="false"/>
          <w:sz w:val="20"/>
        </w:rPr>
        <w:t>, for further details. Accordingly, the Business Combination was treated as the equivalent of AutoLotto issuing stock for the net assets of TDAC, accompanied by a recapitalization. The net assets of TDAC are stated at historical cost, with no goodwill or other intangible assets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and related notes reflect the historical results of AutoLotto prior to the merger and do not include the historical results of TDAC prior to the consummation of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transaction, AutoLotto received total gross proceeds of approximately $</w:t>
      </w:r>
      <w:bookmarkStart w:id="363" w:name="xdx_90D_eus-gaap--ProceedsFromIssuanceOf"/>
      <w:bookmarkEnd w:id="363"/>
      <w:r>
        <w:rPr>
          <w:rFonts w:ascii="Times New Roman;Times;Serif" w:hAnsi="Times New Roman;Times;Serif"/>
          <w:b w:val="false"/>
          <w:i w:val="false"/>
          <w:caps w:val="false"/>
          <w:smallCaps w:val="false"/>
          <w:sz w:val="20"/>
        </w:rPr>
        <w:t>42,794,000, from TDAC’s trust and operating accounts. Total transaction costs were approximately $</w:t>
      </w:r>
      <w:bookmarkStart w:id="364" w:name="xdx_900_eus-gaap--BusinessAcquisitionCos"/>
      <w:bookmarkEnd w:id="364"/>
      <w:r>
        <w:rPr>
          <w:rFonts w:ascii="Times New Roman;Times;Serif" w:hAnsi="Times New Roman;Times;Serif"/>
          <w:b w:val="false"/>
          <w:i w:val="false"/>
          <w:caps w:val="false"/>
          <w:smallCaps w:val="false"/>
          <w:sz w:val="20"/>
        </w:rPr>
        <w:t>9,460,000, which principally consisted of advisory, legal and other professional fees and were recorded in additional paid in capital. Cumulative debt repayments of approximately $</w:t>
      </w:r>
      <w:bookmarkStart w:id="365" w:name="xdx_903_eus-gaap--RepaymentsOfDebt_c2021"/>
      <w:bookmarkEnd w:id="365"/>
      <w:r>
        <w:rPr>
          <w:rFonts w:ascii="Times New Roman;Times;Serif" w:hAnsi="Times New Roman;Times;Serif"/>
          <w:b w:val="false"/>
          <w:i w:val="false"/>
          <w:caps w:val="false"/>
          <w:smallCaps w:val="false"/>
          <w:sz w:val="20"/>
        </w:rPr>
        <w:t>11,068,000, inclusive of accrued but unpaid interest, were paid in conjunction with the close, which included approximately $</w:t>
      </w:r>
      <w:bookmarkStart w:id="366" w:name="xdx_90D_eus-gaap--RepaymentsOfRelatedPar"/>
      <w:bookmarkEnd w:id="366"/>
      <w:r>
        <w:rPr>
          <w:rFonts w:ascii="Times New Roman;Times;Serif" w:hAnsi="Times New Roman;Times;Serif"/>
          <w:b w:val="false"/>
          <w:i w:val="false"/>
          <w:caps w:val="false"/>
          <w:smallCaps w:val="false"/>
          <w:sz w:val="20"/>
        </w:rPr>
        <w:t>5,475,000 repayment of notes payable to related parties, and approximately $</w:t>
      </w:r>
      <w:bookmarkStart w:id="367" w:name="xdx_907_ecustom--PaymentOfAccruedUnderwr"/>
      <w:bookmarkEnd w:id="367"/>
      <w:r>
        <w:rPr>
          <w:rFonts w:ascii="Times New Roman;Times;Serif" w:hAnsi="Times New Roman;Times;Serif"/>
          <w:b w:val="false"/>
          <w:i w:val="false"/>
          <w:caps w:val="false"/>
          <w:smallCaps w:val="false"/>
          <w:sz w:val="20"/>
        </w:rPr>
        <w:t>5,593,000 payment of accrued underwriter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the Business Combination Agreement, the holders of issued and outstanding shares of AutoLotto immediately prior to the Closing (the “Sellers”) were entitled to receive up to </w:t>
      </w:r>
      <w:bookmarkStart w:id="368" w:name="xdx_905_eus-gaap--StockIssuedDuringPerio"/>
      <w:bookmarkEnd w:id="368"/>
      <w:r>
        <w:rPr>
          <w:rFonts w:ascii="Times New Roman;Times;Serif" w:hAnsi="Times New Roman;Times;Serif"/>
          <w:b w:val="false"/>
          <w:i w:val="false"/>
          <w:caps w:val="false"/>
          <w:smallCaps w:val="false"/>
          <w:sz w:val="20"/>
        </w:rPr>
        <w:t xml:space="preserve">30,000 additional shares of Common Stock (the “Seller Earnout Shares”) and Vadim Komissarov, Ilya Ponomarev and Marat Rosenberg (collectively the “TDAC Founders”) were also entitled to receive up to </w:t>
      </w:r>
      <w:bookmarkStart w:id="369" w:name="xdx_90D_eus-gaap--StockIssuedDuringPerio"/>
      <w:bookmarkEnd w:id="369"/>
      <w:r>
        <w:rPr>
          <w:rFonts w:ascii="Times New Roman;Times;Serif" w:hAnsi="Times New Roman;Times;Serif"/>
          <w:b w:val="false"/>
          <w:i w:val="false"/>
          <w:caps w:val="false"/>
          <w:smallCaps w:val="false"/>
          <w:sz w:val="20"/>
        </w:rPr>
        <w:t xml:space="preserve">20,000 additional shares of Common Stock (the “TDAC Founder Earnout Shares” and, together with the Seller Earnout Shares, the “Earnout Shares”). One of the earnout criteria had not been met by the December 31, 2021 deadline thus no earnout shares were granted specific to that criteria. </w:t>
      </w:r>
      <w:bookmarkStart w:id="370" w:name="xdx_908_eus-gaap--StockIssuedDuringPerio"/>
      <w:bookmarkEnd w:id="370"/>
      <w:r>
        <w:rPr>
          <w:rFonts w:ascii="Times New Roman;Times;Serif" w:hAnsi="Times New Roman;Times;Serif"/>
          <w:b w:val="false"/>
          <w:i w:val="false"/>
          <w:caps w:val="false"/>
          <w:smallCaps w:val="false"/>
          <w:sz w:val="20"/>
        </w:rPr>
        <w:t xml:space="preserve">15,000 of the Seller Earnout Shares and </w:t>
      </w:r>
      <w:bookmarkStart w:id="371" w:name="xdx_907_eus-gaap--StockIssuedDuringPerio"/>
      <w:bookmarkEnd w:id="371"/>
      <w:r>
        <w:rPr>
          <w:rFonts w:ascii="Times New Roman;Times;Serif" w:hAnsi="Times New Roman;Times;Serif"/>
          <w:b w:val="false"/>
          <w:i w:val="false"/>
          <w:caps w:val="false"/>
          <w:smallCaps w:val="false"/>
          <w:sz w:val="20"/>
        </w:rPr>
        <w:t>10,000 TDAC Founder Earnout Shares were still eligible Earnout Shares until December 31, 2022. Conditions for the earnout were not met and the potential earnout shares were forfeited on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Global Gaming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30, 2021, the Company completed its acquisition of </w:t>
      </w:r>
      <w:bookmarkStart w:id="372" w:name="xdx_909_eus-gaap--BusinessAcquisitionPer"/>
      <w:bookmarkEnd w:id="372"/>
      <w:r>
        <w:rPr>
          <w:rFonts w:ascii="Times New Roman;Times;Serif" w:hAnsi="Times New Roman;Times;Serif"/>
          <w:b w:val="false"/>
          <w:i w:val="false"/>
          <w:caps w:val="false"/>
          <w:smallCaps w:val="false"/>
          <w:sz w:val="20"/>
        </w:rPr>
        <w:t xml:space="preserve">100 percent of the equity of Global Gaming Enterprises, Inc., a Delaware corporation (“Global Gaming”), which holds </w:t>
      </w:r>
      <w:bookmarkStart w:id="373" w:name="xdx_90F_eus-gaap--EquityMethodInvestment"/>
      <w:bookmarkEnd w:id="373"/>
      <w:r>
        <w:rPr>
          <w:rFonts w:ascii="Times New Roman;Times;Serif" w:hAnsi="Times New Roman;Times;Serif"/>
          <w:b w:val="false"/>
          <w:i w:val="false"/>
          <w:caps w:val="false"/>
          <w:smallCaps w:val="false"/>
          <w:sz w:val="20"/>
        </w:rPr>
        <w:t xml:space="preserve">80% of the equity of each of Medios Electronicos y de Comunicacion, S.A.P.I de C.V. (“Aganar”) and JuegaLotto, S.A. de C.V. (“JuegaLotto”). JuegaLotto is federally licensed by the Mexico regulatory authorities with jurisdiction over the ability to sell international lottery games in Mexico through an authorized federal gaming portal and is licensed for games of chance in other countries throughout Latin America. Aganar has been operating in the licensed Lottery market in Mexico since 2007 and is licensed to sell Mexican National Lottery draw games, instant win tickets, and other games of chance online with access to a federally approved online casino and sportsbook gaming license and additionally issues a proprietary scratch lottery game in Mexico under the brand name Capalli. The opening balance of the acquirees have been included in our consolidated balance sheet since the date of the acquisition. Since the acquirees’ financial statements were denominated in Mexican pesos, the exchange rate of </w:t>
      </w:r>
      <w:bookmarkStart w:id="374" w:name="xdx_90E_eus-gaap--ForeignCurrencyExchang"/>
      <w:bookmarkEnd w:id="374"/>
      <w:r>
        <w:rPr>
          <w:rFonts w:ascii="Times New Roman;Times;Serif" w:hAnsi="Times New Roman;Times;Serif"/>
          <w:b w:val="false"/>
          <w:i w:val="false"/>
          <w:caps w:val="false"/>
          <w:smallCaps w:val="false"/>
          <w:sz w:val="20"/>
        </w:rPr>
        <w:t>22.0848 pesos per dollar was used to translate the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purchase price was allocated to the assets and liabilities acquired as per the table below. Goodwill represents the future economic benefits arising from other assets acquired that could not be individually identified and separately recognized. The fair values of the acquired intangible assets were determined using Level 3 inputs which were not observable in the market.</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purchase price of $</w:t>
      </w:r>
      <w:bookmarkStart w:id="375" w:name="xdx_905_eus-gaap--BusinessCombinationCon"/>
      <w:bookmarkEnd w:id="375"/>
      <w:r>
        <w:rPr>
          <w:rFonts w:ascii="Times New Roman;Times;Serif" w:hAnsi="Times New Roman;Times;Serif"/>
          <w:b w:val="false"/>
          <w:i w:val="false"/>
          <w:caps w:val="false"/>
          <w:smallCaps w:val="false"/>
          <w:sz w:val="20"/>
        </w:rPr>
        <w:t>10,989,691, consisting of cash of $</w:t>
      </w:r>
      <w:bookmarkStart w:id="376" w:name="xdx_908_eus-gaap--PaymentsToAcquireBusin"/>
      <w:bookmarkEnd w:id="376"/>
      <w:r>
        <w:rPr>
          <w:rFonts w:ascii="Times New Roman;Times;Serif" w:hAnsi="Times New Roman;Times;Serif"/>
          <w:b w:val="false"/>
          <w:i w:val="false"/>
          <w:caps w:val="false"/>
          <w:smallCaps w:val="false"/>
          <w:sz w:val="20"/>
        </w:rPr>
        <w:t xml:space="preserve">10,530,000 and </w:t>
      </w:r>
      <w:bookmarkStart w:id="377" w:name="xdx_90A_eus-gaap--StockIssuedDuringPerio"/>
      <w:bookmarkEnd w:id="377"/>
      <w:r>
        <w:rPr>
          <w:rFonts w:ascii="Times New Roman;Times;Serif" w:hAnsi="Times New Roman;Times;Serif"/>
          <w:b w:val="false"/>
          <w:i w:val="false"/>
          <w:caps w:val="false"/>
          <w:smallCaps w:val="false"/>
          <w:sz w:val="20"/>
        </w:rPr>
        <w:t>687,439 shares of common stock of AutoLotto at $</w:t>
      </w:r>
      <w:bookmarkStart w:id="378" w:name="xdx_903_eus-gaap--BusinessAcquisitionSha"/>
      <w:bookmarkEnd w:id="378"/>
      <w:r>
        <w:rPr>
          <w:rFonts w:ascii="Times New Roman;Times;Serif" w:hAnsi="Times New Roman;Times;Serif"/>
          <w:b w:val="false"/>
          <w:i w:val="false"/>
          <w:caps w:val="false"/>
          <w:smallCaps w:val="false"/>
          <w:sz w:val="20"/>
        </w:rPr>
        <w:t xml:space="preserve">0.67 per share or </w:t>
      </w:r>
      <w:bookmarkStart w:id="379" w:name="xdx_90C_eus-gaap--StockIssuedDuringPerio"/>
      <w:bookmarkEnd w:id="379"/>
      <w:r>
        <w:rPr>
          <w:rFonts w:ascii="Times New Roman;Times;Serif" w:hAnsi="Times New Roman;Times;Serif"/>
          <w:b w:val="false"/>
          <w:i w:val="false"/>
          <w:caps w:val="false"/>
          <w:smallCaps w:val="false"/>
          <w:sz w:val="20"/>
        </w:rPr>
        <w:t>3,437 at $</w:t>
      </w:r>
      <w:bookmarkStart w:id="380" w:name="xdx_90A_ecustom--StockIssuedDuringPeriod"/>
      <w:bookmarkEnd w:id="380"/>
      <w:r>
        <w:rPr>
          <w:rFonts w:ascii="Times New Roman;Times;Serif" w:hAnsi="Times New Roman;Times;Serif"/>
          <w:b w:val="false"/>
          <w:i w:val="false"/>
          <w:caps w:val="false"/>
          <w:smallCaps w:val="false"/>
          <w:sz w:val="20"/>
        </w:rPr>
        <w:t>134.00 reflective of subsequent reverse stock splits. The total consideration transferred was approximately $</w:t>
      </w:r>
      <w:bookmarkStart w:id="381" w:name="xdx_905_eus-gaap--PaymentsToAcquireBusin"/>
      <w:bookmarkEnd w:id="381"/>
      <w:r>
        <w:rPr>
          <w:rFonts w:ascii="Times New Roman;Times;Serif" w:hAnsi="Times New Roman;Times;Serif"/>
          <w:b w:val="false"/>
          <w:i w:val="false"/>
          <w:caps w:val="false"/>
          <w:smallCaps w:val="false"/>
          <w:sz w:val="20"/>
        </w:rPr>
        <w:t xml:space="preserve">10,055,214, reflecting the purchase price, net of cash on hand at Global Gaming and the principal amount of certain loans acquired. The purchase price is for an </w:t>
      </w:r>
      <w:bookmarkStart w:id="382" w:name="xdx_903_eus-gaap--EquityMethodInvestment"/>
      <w:bookmarkEnd w:id="382"/>
      <w:r>
        <w:rPr>
          <w:rFonts w:ascii="Times New Roman;Times;Serif" w:hAnsi="Times New Roman;Times;Serif"/>
          <w:b w:val="false"/>
          <w:i w:val="false"/>
          <w:caps w:val="false"/>
          <w:smallCaps w:val="false"/>
          <w:sz w:val="20"/>
        </w:rPr>
        <w:t>80% ownership interest and is therefore grossed up to $</w:t>
      </w:r>
      <w:bookmarkStart w:id="383" w:name="xdx_901_eus-gaap--BusinessCombinationRec"/>
      <w:bookmarkEnd w:id="383"/>
      <w:r>
        <w:rPr>
          <w:rFonts w:ascii="Times New Roman;Times;Serif" w:hAnsi="Times New Roman;Times;Serif"/>
          <w:b w:val="false"/>
          <w:i w:val="false"/>
          <w:caps w:val="false"/>
          <w:smallCaps w:val="false"/>
          <w:sz w:val="20"/>
        </w:rPr>
        <w:t xml:space="preserve">13,215,842 to reflect the </w:t>
      </w:r>
      <w:bookmarkStart w:id="384" w:name="xdx_901_eus-gaap--MinorityInterestOwners"/>
      <w:bookmarkEnd w:id="384"/>
      <w:r>
        <w:rPr>
          <w:rFonts w:ascii="Times New Roman;Times;Serif" w:hAnsi="Times New Roman;Times;Serif"/>
          <w:b w:val="false"/>
          <w:i w:val="false"/>
          <w:caps w:val="false"/>
          <w:smallCaps w:val="false"/>
          <w:sz w:val="20"/>
        </w:rPr>
        <w:t>20% minority interest in the acquirees. The purchase price was allocated to the identified tangible and intangible assets acquired based on their estimated fair values at the acquisition date as follows:</w:t>
      </w:r>
    </w:p>
    <w:p>
      <w:pPr>
        <w:pStyle w:val="TextBody"/>
        <w:bidi w:val="0"/>
        <w:spacing w:before="0" w:after="0"/>
        <w:ind w:left="8" w:right="0" w:hanging="0"/>
        <w:jc w:val="left"/>
        <w:rPr>
          <w:rFonts w:ascii="Times New Roman;Times;Serif" w:hAnsi="Times New Roman;Times;Serif"/>
          <w:b w:val="false"/>
          <w:i w:val="false"/>
          <w:caps w:val="false"/>
          <w:smallCaps w:val="false"/>
          <w:sz w:val="20"/>
        </w:rPr>
      </w:pPr>
      <w:bookmarkStart w:id="385" w:name="xdx_8B9_zOgVoA64SCi8"/>
      <w:bookmarkStart w:id="386" w:name="xdx_894_eus-gaap--ScheduleOfBusinessAcqu"/>
      <w:bookmarkEnd w:id="385"/>
      <w:bookmarkEnd w:id="386"/>
      <w:r>
        <w:rPr>
          <w:rFonts w:ascii="Times New Roman;Times;Serif" w:hAnsi="Times New Roman;Times;Serif"/>
          <w:b w:val="false"/>
          <w:i w:val="false"/>
          <w:caps w:val="false"/>
          <w:smallCaps w:val="false"/>
          <w:sz w:val="20"/>
        </w:rPr>
        <w:t>Schedule of Identified Tangible and Intangible Asset Acquired </w:t>
      </w:r>
    </w:p>
    <w:tbl>
      <w:tblPr>
        <w:tblW w:w="4985" w:type="dxa"/>
        <w:jc w:val="left"/>
        <w:tblInd w:w="0" w:type="dxa"/>
        <w:tblLayout w:type="fixed"/>
        <w:tblCellMar>
          <w:top w:w="0" w:type="dxa"/>
          <w:left w:w="0" w:type="dxa"/>
          <w:bottom w:w="0" w:type="dxa"/>
          <w:right w:w="0" w:type="dxa"/>
        </w:tblCellMar>
      </w:tblPr>
      <w:tblGrid>
        <w:gridCol w:w="3575"/>
        <w:gridCol w:w="60"/>
        <w:gridCol w:w="140"/>
        <w:gridCol w:w="1100"/>
        <w:gridCol w:w="110"/>
      </w:tblGrid>
      <w:tr>
        <w:trPr/>
        <w:tc>
          <w:tcPr>
            <w:tcW w:w="3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87" w:name="xdx_494_20210630_zXdeucrpic1k"/>
            <w:bookmarkEnd w:id="387"/>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88" w:name="xdx_40E_eus-gaap--BusinessCombinationRec"/>
            <w:bookmarkEnd w:id="388"/>
          </w:p>
        </w:tc>
      </w:tr>
      <w:tr>
        <w:trPr/>
        <w:tc>
          <w:tcPr>
            <w:tcW w:w="357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517,460</w:t>
            </w:r>
          </w:p>
        </w:tc>
        <w:tc>
          <w:tcPr>
            <w:tcW w:w="110" w:type="dxa"/>
            <w:tcBorders/>
            <w:shd w:fill="CCEEFF" w:val="clear"/>
            <w:vAlign w:val="center"/>
          </w:tcPr>
          <w:p>
            <w:pPr>
              <w:pStyle w:val="TableContents"/>
              <w:bidi w:val="0"/>
              <w:spacing w:before="0" w:after="283"/>
              <w:jc w:val="left"/>
              <w:rPr/>
            </w:pPr>
            <w:r>
              <w:rPr/>
              <w:t> </w:t>
            </w:r>
            <w:bookmarkStart w:id="389" w:name="xdx_40A_eus-gaap--BusinessCombinationRec"/>
            <w:bookmarkEnd w:id="389"/>
          </w:p>
        </w:tc>
      </w:tr>
      <w:tr>
        <w:trPr/>
        <w:tc>
          <w:tcPr>
            <w:tcW w:w="3575"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34,134</w:t>
            </w:r>
          </w:p>
        </w:tc>
        <w:tc>
          <w:tcPr>
            <w:tcW w:w="110" w:type="dxa"/>
            <w:tcBorders/>
            <w:shd w:fill="FFFFFF" w:val="clear"/>
            <w:vAlign w:val="center"/>
          </w:tcPr>
          <w:p>
            <w:pPr>
              <w:pStyle w:val="TableContents"/>
              <w:bidi w:val="0"/>
              <w:spacing w:before="0" w:after="283"/>
              <w:jc w:val="left"/>
              <w:rPr/>
            </w:pPr>
            <w:r>
              <w:rPr/>
              <w:t> </w:t>
            </w:r>
            <w:bookmarkStart w:id="390" w:name="xdx_40B_ecustom--BusinessCombinationReco"/>
            <w:bookmarkEnd w:id="390"/>
          </w:p>
        </w:tc>
      </w:tr>
      <w:tr>
        <w:trPr/>
        <w:tc>
          <w:tcPr>
            <w:tcW w:w="3575" w:type="dxa"/>
            <w:tcBorders/>
            <w:shd w:fill="FFFFFF" w:val="clear"/>
            <w:vAlign w:val="center"/>
          </w:tcPr>
          <w:p>
            <w:pPr>
              <w:pStyle w:val="TableContents"/>
              <w:bidi w:val="0"/>
              <w:spacing w:before="0" w:after="283"/>
              <w:jc w:val="left"/>
              <w:rPr/>
            </w:pPr>
            <w:r>
              <w:rPr/>
              <w:t>Accounts receivable - Other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91" w:name="xdx_402_ecustom--BusinessCombinationReco"/>
            <w:bookmarkEnd w:id="391"/>
          </w:p>
        </w:tc>
      </w:tr>
      <w:tr>
        <w:trPr/>
        <w:tc>
          <w:tcPr>
            <w:tcW w:w="3575" w:type="dxa"/>
            <w:tcBorders/>
            <w:shd w:fill="FFFFFF" w:val="clear"/>
            <w:vAlign w:val="center"/>
          </w:tcPr>
          <w:p>
            <w:pPr>
              <w:pStyle w:val="TableContents"/>
              <w:bidi w:val="0"/>
              <w:spacing w:before="0" w:after="283"/>
              <w:jc w:val="left"/>
              <w:rPr/>
            </w:pPr>
            <w:r>
              <w:rPr/>
              <w:t>VAT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92" w:name="xdx_403_eus-gaap--BusinessCombinationRec"/>
            <w:bookmarkEnd w:id="392"/>
          </w:p>
        </w:tc>
      </w:tr>
      <w:tr>
        <w:trPr/>
        <w:tc>
          <w:tcPr>
            <w:tcW w:w="3575" w:type="dxa"/>
            <w:tcBorders/>
            <w:shd w:fill="CCEEFF" w:val="clear"/>
            <w:vAlign w:val="center"/>
          </w:tcPr>
          <w:p>
            <w:pPr>
              <w:pStyle w:val="TableContents"/>
              <w:bidi w:val="0"/>
              <w:spacing w:before="0" w:after="283"/>
              <w:jc w:val="left"/>
              <w:rPr/>
            </w:pPr>
            <w:r>
              <w:rPr/>
              <w:t>Prepaids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5,024</w:t>
            </w:r>
          </w:p>
        </w:tc>
        <w:tc>
          <w:tcPr>
            <w:tcW w:w="110" w:type="dxa"/>
            <w:tcBorders/>
            <w:shd w:fill="CCEEFF" w:val="clear"/>
            <w:vAlign w:val="center"/>
          </w:tcPr>
          <w:p>
            <w:pPr>
              <w:pStyle w:val="TableContents"/>
              <w:bidi w:val="0"/>
              <w:spacing w:before="0" w:after="283"/>
              <w:jc w:val="left"/>
              <w:rPr/>
            </w:pPr>
            <w:r>
              <w:rPr/>
              <w:t> </w:t>
            </w:r>
            <w:bookmarkStart w:id="393" w:name="xdx_400_eus-gaap--BusinessCombinationRec"/>
            <w:bookmarkEnd w:id="393"/>
          </w:p>
        </w:tc>
      </w:tr>
      <w:tr>
        <w:trPr/>
        <w:tc>
          <w:tcPr>
            <w:tcW w:w="357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2,440</w:t>
            </w:r>
          </w:p>
        </w:tc>
        <w:tc>
          <w:tcPr>
            <w:tcW w:w="110" w:type="dxa"/>
            <w:tcBorders/>
            <w:shd w:fill="FFFFFF" w:val="clear"/>
            <w:vAlign w:val="center"/>
          </w:tcPr>
          <w:p>
            <w:pPr>
              <w:pStyle w:val="TableContents"/>
              <w:bidi w:val="0"/>
              <w:spacing w:before="0" w:after="283"/>
              <w:jc w:val="left"/>
              <w:rPr/>
            </w:pPr>
            <w:r>
              <w:rPr/>
              <w:t> </w:t>
            </w:r>
            <w:bookmarkStart w:id="394" w:name="xdx_405_eus-gaap--BusinessCombinationRec"/>
            <w:bookmarkEnd w:id="394"/>
          </w:p>
        </w:tc>
      </w:tr>
      <w:tr>
        <w:trPr/>
        <w:tc>
          <w:tcPr>
            <w:tcW w:w="3575" w:type="dxa"/>
            <w:tcBorders/>
            <w:shd w:fill="CCEEFF" w:val="clear"/>
            <w:vAlign w:val="center"/>
          </w:tcPr>
          <w:p>
            <w:pPr>
              <w:pStyle w:val="TableContents"/>
              <w:bidi w:val="0"/>
              <w:spacing w:before="0" w:after="283"/>
              <w:jc w:val="left"/>
              <w:rPr/>
            </w:pPr>
            <w:r>
              <w:rPr/>
              <w:t>Other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65,349</w:t>
            </w:r>
          </w:p>
        </w:tc>
        <w:tc>
          <w:tcPr>
            <w:tcW w:w="110" w:type="dxa"/>
            <w:tcBorders/>
            <w:shd w:fill="CCEEFF" w:val="clear"/>
            <w:vAlign w:val="center"/>
          </w:tcPr>
          <w:p>
            <w:pPr>
              <w:pStyle w:val="TableContents"/>
              <w:bidi w:val="0"/>
              <w:spacing w:before="0" w:after="283"/>
              <w:jc w:val="left"/>
              <w:rPr/>
            </w:pPr>
            <w:r>
              <w:rPr/>
              <w:t> </w:t>
            </w:r>
            <w:bookmarkStart w:id="395" w:name="xdx_402_eus-gaap--BusinessCombinationRec"/>
            <w:bookmarkEnd w:id="395"/>
          </w:p>
        </w:tc>
      </w:tr>
      <w:tr>
        <w:trPr/>
        <w:tc>
          <w:tcPr>
            <w:tcW w:w="3575"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8,590,000</w:t>
            </w:r>
          </w:p>
        </w:tc>
        <w:tc>
          <w:tcPr>
            <w:tcW w:w="110" w:type="dxa"/>
            <w:tcBorders/>
            <w:shd w:fill="FFFFFF" w:val="clear"/>
            <w:vAlign w:val="center"/>
          </w:tcPr>
          <w:p>
            <w:pPr>
              <w:pStyle w:val="TableContents"/>
              <w:bidi w:val="0"/>
              <w:spacing w:before="0" w:after="283"/>
              <w:jc w:val="left"/>
              <w:rPr/>
            </w:pPr>
            <w:r>
              <w:rPr/>
              <w:t> </w:t>
            </w:r>
            <w:bookmarkStart w:id="396" w:name="xdx_407_eus-gaap--Goodwill_iI_pp0p0_maOA"/>
            <w:bookmarkEnd w:id="396"/>
          </w:p>
        </w:tc>
      </w:tr>
      <w:tr>
        <w:trPr/>
        <w:tc>
          <w:tcPr>
            <w:tcW w:w="357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4,940,643</w:t>
            </w:r>
          </w:p>
        </w:tc>
        <w:tc>
          <w:tcPr>
            <w:tcW w:w="110" w:type="dxa"/>
            <w:tcBorders/>
            <w:shd w:fill="CCEEFF" w:val="clear"/>
            <w:vAlign w:val="center"/>
          </w:tcPr>
          <w:p>
            <w:pPr>
              <w:pStyle w:val="TableContents"/>
              <w:bidi w:val="0"/>
              <w:spacing w:before="0" w:after="283"/>
              <w:jc w:val="left"/>
              <w:rPr/>
            </w:pPr>
            <w:r>
              <w:rPr/>
              <w:t> </w:t>
            </w:r>
            <w:bookmarkStart w:id="397" w:name="xdx_40E_eus-gaap--BusinessCombinationRec"/>
            <w:bookmarkEnd w:id="397"/>
          </w:p>
        </w:tc>
      </w:tr>
      <w:tr>
        <w:trPr/>
        <w:tc>
          <w:tcPr>
            <w:tcW w:w="357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14,155,050</w:t>
            </w:r>
          </w:p>
        </w:tc>
        <w:tc>
          <w:tcPr>
            <w:tcW w:w="11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98" w:name="xdx_404_eus-gaap--BusinessCombinationRec"/>
            <w:bookmarkEnd w:id="398"/>
          </w:p>
        </w:tc>
      </w:tr>
      <w:tr>
        <w:trPr/>
        <w:tc>
          <w:tcPr>
            <w:tcW w:w="3575" w:type="dxa"/>
            <w:tcBorders/>
            <w:shd w:fill="FFFFFF" w:val="clear"/>
            <w:vAlign w:val="center"/>
          </w:tcPr>
          <w:p>
            <w:pPr>
              <w:pStyle w:val="TableContents"/>
              <w:bidi w:val="0"/>
              <w:spacing w:before="0" w:after="283"/>
              <w:jc w:val="left"/>
              <w:rPr/>
            </w:pPr>
            <w:r>
              <w:rPr/>
              <w:t>Accounts payable and other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(387,484</w:t>
            </w:r>
          </w:p>
        </w:tc>
        <w:tc>
          <w:tcPr>
            <w:tcW w:w="110" w:type="dxa"/>
            <w:tcBorders/>
            <w:shd w:fill="FFFFFF" w:val="clear"/>
            <w:vAlign w:val="center"/>
          </w:tcPr>
          <w:p>
            <w:pPr>
              <w:pStyle w:val="TableContents"/>
              <w:bidi w:val="0"/>
              <w:spacing w:before="0" w:after="283"/>
              <w:jc w:val="left"/>
              <w:rPr/>
            </w:pPr>
            <w:r>
              <w:rPr/>
              <w:t>)</w:t>
            </w:r>
            <w:bookmarkStart w:id="399" w:name="xdx_409_ecustom--BusinessCombinationReco"/>
            <w:bookmarkEnd w:id="399"/>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Loan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00" w:name="xdx_40E_eus-gaap--BusinessCombinationRec"/>
            <w:bookmarkEnd w:id="400"/>
          </w:p>
        </w:tc>
      </w:tr>
      <w:tr>
        <w:trPr/>
        <w:tc>
          <w:tcPr>
            <w:tcW w:w="3575" w:type="dxa"/>
            <w:tcBorders/>
            <w:shd w:fill="CCEEFF" w:val="clear"/>
            <w:vAlign w:val="center"/>
          </w:tcPr>
          <w:p>
            <w:pPr>
              <w:pStyle w:val="TableContents"/>
              <w:bidi w:val="0"/>
              <w:spacing w:before="0" w:after="283"/>
              <w:jc w:val="left"/>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(134,707</w:t>
            </w:r>
          </w:p>
        </w:tc>
        <w:tc>
          <w:tcPr>
            <w:tcW w:w="110" w:type="dxa"/>
            <w:tcBorders/>
            <w:shd w:fill="CCEEFF" w:val="clear"/>
            <w:vAlign w:val="center"/>
          </w:tcPr>
          <w:p>
            <w:pPr>
              <w:pStyle w:val="TableContents"/>
              <w:bidi w:val="0"/>
              <w:spacing w:before="0" w:after="283"/>
              <w:jc w:val="left"/>
              <w:rPr/>
            </w:pPr>
            <w:r>
              <w:rPr/>
              <w:t>)</w:t>
            </w:r>
            <w:bookmarkStart w:id="401" w:name="xdx_40D_eus-gaap--BusinessCombinationRec"/>
            <w:bookmarkEnd w:id="401"/>
          </w:p>
        </w:tc>
      </w:tr>
      <w:tr>
        <w:trPr/>
        <w:tc>
          <w:tcPr>
            <w:tcW w:w="3575" w:type="dxa"/>
            <w:tcBorders/>
            <w:shd w:fill="FFFFFF" w:val="clear"/>
            <w:vAlign w:val="center"/>
          </w:tcPr>
          <w:p>
            <w:pPr>
              <w:pStyle w:val="TableContents"/>
              <w:bidi w:val="0"/>
              <w:spacing w:before="0" w:after="283"/>
              <w:jc w:val="left"/>
              <w:rPr/>
            </w:pPr>
            <w:r>
              <w:rPr/>
              <w:t>Related party loan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(417,017</w:t>
            </w:r>
          </w:p>
        </w:tc>
        <w:tc>
          <w:tcPr>
            <w:tcW w:w="110" w:type="dxa"/>
            <w:tcBorders/>
            <w:shd w:fill="FFFFFF" w:val="clear"/>
            <w:vAlign w:val="center"/>
          </w:tcPr>
          <w:p>
            <w:pPr>
              <w:pStyle w:val="TableContents"/>
              <w:bidi w:val="0"/>
              <w:spacing w:before="0" w:after="283"/>
              <w:jc w:val="left"/>
              <w:rPr/>
            </w:pPr>
            <w:r>
              <w:rPr/>
              <w:t>)</w:t>
            </w:r>
            <w:bookmarkStart w:id="402" w:name="xdx_40E_eus-gaap--BusinessCombinationRec"/>
            <w:bookmarkEnd w:id="402"/>
          </w:p>
        </w:tc>
      </w:tr>
      <w:tr>
        <w:trPr/>
        <w:tc>
          <w:tcPr>
            <w:tcW w:w="357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(939,208</w:t>
            </w:r>
          </w:p>
        </w:tc>
        <w:tc>
          <w:tcPr>
            <w:tcW w:w="110" w:type="dxa"/>
            <w:tcBorders/>
            <w:shd w:fill="CCEEFF" w:val="clear"/>
            <w:vAlign w:val="center"/>
          </w:tcPr>
          <w:p>
            <w:pPr>
              <w:pStyle w:val="TableContents"/>
              <w:bidi w:val="0"/>
              <w:spacing w:before="0" w:after="283"/>
              <w:jc w:val="left"/>
              <w:rPr/>
            </w:pPr>
            <w:r>
              <w:rPr/>
              <w:t>)</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03" w:name="xdx_401_eus-gaap--BusinessCombinationRec"/>
            <w:bookmarkEnd w:id="403"/>
          </w:p>
        </w:tc>
      </w:tr>
      <w:tr>
        <w:trPr/>
        <w:tc>
          <w:tcPr>
            <w:tcW w:w="3575" w:type="dxa"/>
            <w:tcBorders/>
            <w:shd w:fill="CCEEFF" w:val="clear"/>
            <w:vAlign w:val="center"/>
          </w:tcPr>
          <w:p>
            <w:pPr>
              <w:pStyle w:val="TableContents"/>
              <w:bidi w:val="0"/>
              <w:spacing w:before="0" w:after="283"/>
              <w:jc w:val="left"/>
              <w:rPr>
                <w:b/>
              </w:rPr>
            </w:pPr>
            <w:r>
              <w:rPr>
                <w:b/>
              </w:rPr>
              <w:t>Total net assets of Acquirees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13,215,842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404" w:name="xdx_8A1_zQtlb8AHPWrc"/>
      <w:bookmarkEnd w:id="404"/>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recognized in connection with the acquisition - is primarily attributed to an anticipated growing lottery market in Mexico that is expected to be achieved from the integration of these Mexican entities. None of the goodwill is expected to be deductible for income tax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405" w:name="xdx_89B_eus-gaap--ScheduleOfFiniteLivedI"/>
      <w:bookmarkEnd w:id="405"/>
      <w:r>
        <w:rPr>
          <w:rFonts w:ascii="Times New Roman;Times;Serif" w:hAnsi="Times New Roman;Times;Serif"/>
          <w:b w:val="false"/>
          <w:i w:val="false"/>
          <w:caps w:val="false"/>
          <w:smallCaps w:val="false"/>
          <w:sz w:val="20"/>
        </w:rPr>
        <w:t>Following are details of the purchase price allocated to the intangible assets acquired.</w:t>
      </w:r>
    </w:p>
    <w:p>
      <w:pPr>
        <w:pStyle w:val="TextBody"/>
        <w:bidi w:val="0"/>
        <w:spacing w:before="0" w:after="0"/>
        <w:jc w:val="left"/>
        <w:rPr>
          <w:caps w:val="false"/>
          <w:smallCaps w:val="false"/>
        </w:rPr>
      </w:pPr>
      <w:r>
        <w:rPr>
          <w:caps w:val="false"/>
          <w:smallCaps w:val="false"/>
        </w:rPr>
        <w:t> </w:t>
      </w:r>
    </w:p>
    <w:p>
      <w:pPr>
        <w:pStyle w:val="TextBody"/>
        <w:bidi w:val="0"/>
        <w:spacing w:before="0" w:after="283"/>
        <w:jc w:val="left"/>
        <w:rPr/>
      </w:pPr>
      <w:bookmarkStart w:id="406" w:name="xdx_8BA_zc2AfACFciRe"/>
      <w:bookmarkEnd w:id="406"/>
      <w:r>
        <w:rPr/>
        <w:t>Schedule of Intangible Assets Acquired</w:t>
      </w:r>
    </w:p>
    <w:tbl>
      <w:tblPr>
        <w:tblW w:w="4005" w:type="dxa"/>
        <w:jc w:val="left"/>
        <w:tblInd w:w="0" w:type="dxa"/>
        <w:tblLayout w:type="fixed"/>
        <w:tblCellMar>
          <w:top w:w="0" w:type="dxa"/>
          <w:left w:w="0" w:type="dxa"/>
          <w:bottom w:w="28" w:type="dxa"/>
          <w:right w:w="0" w:type="dxa"/>
        </w:tblCellMar>
      </w:tblPr>
      <w:tblGrid>
        <w:gridCol w:w="2750"/>
        <w:gridCol w:w="60"/>
        <w:gridCol w:w="140"/>
        <w:gridCol w:w="980"/>
        <w:gridCol w:w="75"/>
      </w:tblGrid>
      <w:tr>
        <w:trPr/>
        <w:tc>
          <w:tcPr>
            <w:tcW w:w="2750" w:type="dxa"/>
            <w:tcBorders>
              <w:bottom w:val="single" w:sz="8" w:space="0" w:color="000000"/>
            </w:tcBorders>
            <w:vAlign w:val="center"/>
          </w:tcPr>
          <w:p>
            <w:pPr>
              <w:pStyle w:val="TableContents"/>
              <w:bidi w:val="0"/>
              <w:spacing w:before="0" w:after="283"/>
              <w:jc w:val="left"/>
              <w:rPr>
                <w:b/>
              </w:rPr>
            </w:pPr>
            <w:r>
              <w:rPr>
                <w:b/>
              </w:rPr>
              <w:t>Category</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b/>
              </w:rPr>
            </w:pPr>
            <w:r>
              <w:rPr>
                <w:b/>
              </w:rPr>
              <w:t>Fair Value</w:t>
            </w:r>
          </w:p>
        </w:tc>
        <w:tc>
          <w:tcPr>
            <w:tcW w:w="75" w:type="dxa"/>
            <w:tcBorders/>
            <w:tcMar>
              <w:bottom w:w="0" w:type="dxa"/>
            </w:tcMar>
            <w:vAlign w:val="center"/>
          </w:tcPr>
          <w:p>
            <w:pPr>
              <w:pStyle w:val="TableContents"/>
              <w:bidi w:val="0"/>
              <w:spacing w:before="0" w:after="283"/>
              <w:jc w:val="left"/>
              <w:rPr/>
            </w:pPr>
            <w:r>
              <w:rPr/>
              <w:t> </w:t>
            </w:r>
          </w:p>
        </w:tc>
      </w:tr>
      <w:tr>
        <w:trPr/>
        <w:tc>
          <w:tcPr>
            <w:tcW w:w="27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left"/>
              <w:rPr/>
            </w:pPr>
            <w:r>
              <w:rPr/>
              <w:t>Customer relationships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407" w:name="xdx_98C_eus-gaap--BusinessCombinationRec"/>
            <w:bookmarkEnd w:id="407"/>
          </w:p>
        </w:tc>
        <w:tc>
          <w:tcPr>
            <w:tcW w:w="980" w:type="dxa"/>
            <w:tcBorders/>
            <w:shd w:fill="CCEEFF" w:val="clear"/>
            <w:tcMar>
              <w:bottom w:w="0" w:type="dxa"/>
            </w:tcMar>
            <w:vAlign w:val="center"/>
          </w:tcPr>
          <w:p>
            <w:pPr>
              <w:pStyle w:val="TableContents"/>
              <w:bidi w:val="0"/>
              <w:spacing w:before="0" w:after="283"/>
              <w:jc w:val="right"/>
              <w:rPr/>
            </w:pPr>
            <w:r>
              <w:rPr/>
              <w:t>410,000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shd w:fill="FFFFFF" w:val="clear"/>
            <w:tcMar>
              <w:bottom w:w="0" w:type="dxa"/>
            </w:tcMar>
            <w:vAlign w:val="center"/>
          </w:tcPr>
          <w:p>
            <w:pPr>
              <w:pStyle w:val="TableContents"/>
              <w:bidi w:val="0"/>
              <w:spacing w:before="0" w:after="283"/>
              <w:jc w:val="left"/>
              <w:rPr/>
            </w:pPr>
            <w:r>
              <w:rPr/>
              <w:t>Gaming licensees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08" w:name="xdx_984_eus-gaap--BusinessCombinationRec"/>
            <w:bookmarkEnd w:id="408"/>
          </w:p>
        </w:tc>
        <w:tc>
          <w:tcPr>
            <w:tcW w:w="980" w:type="dxa"/>
            <w:tcBorders/>
            <w:shd w:fill="FFFFFF" w:val="clear"/>
            <w:tcMar>
              <w:bottom w:w="0" w:type="dxa"/>
            </w:tcMar>
            <w:vAlign w:val="center"/>
          </w:tcPr>
          <w:p>
            <w:pPr>
              <w:pStyle w:val="TableContents"/>
              <w:bidi w:val="0"/>
              <w:spacing w:before="0" w:after="283"/>
              <w:jc w:val="right"/>
              <w:rPr/>
            </w:pPr>
            <w:r>
              <w:rPr/>
              <w:t>4,020,000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left"/>
              <w:rPr/>
            </w:pPr>
            <w:r>
              <w:rPr/>
              <w:t>Trade names and trademarks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409" w:name="xdx_983_eus-gaap--BusinessCombinationRec"/>
            <w:bookmarkEnd w:id="409"/>
          </w:p>
        </w:tc>
        <w:tc>
          <w:tcPr>
            <w:tcW w:w="980" w:type="dxa"/>
            <w:tcBorders/>
            <w:shd w:fill="CCEEFF" w:val="clear"/>
            <w:tcMar>
              <w:bottom w:w="0" w:type="dxa"/>
            </w:tcMar>
            <w:vAlign w:val="center"/>
          </w:tcPr>
          <w:p>
            <w:pPr>
              <w:pStyle w:val="TableContents"/>
              <w:bidi w:val="0"/>
              <w:spacing w:before="0" w:after="283"/>
              <w:jc w:val="right"/>
              <w:rPr/>
            </w:pPr>
            <w:r>
              <w:rPr/>
              <w:t>2,540,000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shd w:fill="FFFFFF" w:val="clear"/>
            <w:tcMar>
              <w:bottom w:w="0" w:type="dxa"/>
            </w:tcMar>
            <w:vAlign w:val="center"/>
          </w:tcPr>
          <w:p>
            <w:pPr>
              <w:pStyle w:val="TableContents"/>
              <w:bidi w:val="0"/>
              <w:spacing w:before="0" w:after="283"/>
              <w:jc w:val="left"/>
              <w:rPr/>
            </w:pPr>
            <w:r>
              <w:rPr/>
              <w:t>Technology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bookmarkStart w:id="410" w:name="xdx_988_eus-gaap--BusinessCombinationRec"/>
            <w:bookmarkEnd w:id="410"/>
          </w:p>
        </w:tc>
        <w:tc>
          <w:tcPr>
            <w:tcW w:w="980" w:type="dxa"/>
            <w:tcBorders>
              <w:bottom w:val="single" w:sz="8" w:space="0" w:color="000000"/>
            </w:tcBorders>
            <w:shd w:fill="FFFFFF" w:val="clear"/>
            <w:vAlign w:val="center"/>
          </w:tcPr>
          <w:p>
            <w:pPr>
              <w:pStyle w:val="TableContents"/>
              <w:bidi w:val="0"/>
              <w:spacing w:before="0" w:after="283"/>
              <w:jc w:val="right"/>
              <w:rPr/>
            </w:pPr>
            <w:r>
              <w:rPr/>
              <w:t>1,620,000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shd w:fill="FFFFFF" w:val="clear"/>
            <w:tcMar>
              <w:bottom w:w="0" w:type="dxa"/>
            </w:tcMar>
            <w:vAlign w:val="center"/>
          </w:tcPr>
          <w:p>
            <w:pPr>
              <w:pStyle w:val="TableContents"/>
              <w:bidi w:val="0"/>
              <w:spacing w:before="0" w:after="283"/>
              <w:jc w:val="left"/>
              <w:rPr>
                <w:b/>
              </w:rPr>
            </w:pPr>
            <w:r>
              <w:rPr>
                <w:b/>
              </w:rPr>
              <w:t>Total Intangibles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b/>
              </w:rPr>
            </w:pPr>
            <w:r>
              <w:rPr>
                <w:b/>
              </w:rPr>
              <w:t>$</w:t>
            </w:r>
            <w:bookmarkStart w:id="411" w:name="xdx_981_eus-gaap--BusinessCombinationRec"/>
            <w:bookmarkEnd w:id="411"/>
          </w:p>
        </w:tc>
        <w:tc>
          <w:tcPr>
            <w:tcW w:w="980" w:type="dxa"/>
            <w:tcBorders/>
            <w:shd w:fill="FFFFFF" w:val="clear"/>
            <w:tcMar>
              <w:bottom w:w="0" w:type="dxa"/>
            </w:tcMar>
            <w:vAlign w:val="center"/>
          </w:tcPr>
          <w:p>
            <w:pPr>
              <w:pStyle w:val="TableContents"/>
              <w:bidi w:val="0"/>
              <w:spacing w:before="0" w:after="283"/>
              <w:jc w:val="right"/>
              <w:rPr>
                <w:b/>
              </w:rPr>
            </w:pPr>
            <w:r>
              <w:rPr>
                <w:b/>
              </w:rPr>
              <w:t>8,590,000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412" w:name="xdx_8A6_zjfzzdDqhF7f"/>
      <w:bookmarkEnd w:id="412"/>
      <w:r>
        <w:rPr>
          <w:caps w:val="false"/>
          <w:smallCaps w:val="false"/>
        </w:rPr>
        <w:t> </w:t>
      </w:r>
    </w:p>
    <w:p>
      <w:pPr>
        <w:pStyle w:val="TextBody"/>
        <w:bidi w:val="0"/>
        <w:spacing w:before="0" w:after="0"/>
        <w:ind w:left="8"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S&amp;MI Ltd. Acquisition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2024, the Company finalized an agreement for the acquisition of S&amp;MI, Ltd. which was renamed Sports.com Media Services Ltd. on September 12, 2024 and subsequently renamed Sports.com Media Group Ltd. on February 17, 2025 (“Sports.com Media”). The agreement with Sports.com Media shareholders (the “Share Purchase and Sale Agreement”), wherein the Purchase Price was the total equivalent One Million Dollars USD ($</w:t>
      </w:r>
      <w:bookmarkStart w:id="413" w:name="xdx_90A_eus-gaap--BusinessCombinationCon"/>
      <w:bookmarkEnd w:id="413"/>
      <w:r>
        <w:rPr>
          <w:rFonts w:ascii="Times New Roman;Times;Serif" w:hAnsi="Times New Roman;Times;Serif"/>
          <w:b w:val="false"/>
          <w:i w:val="false"/>
          <w:caps w:val="false"/>
          <w:smallCaps w:val="false"/>
          <w:sz w:val="20"/>
        </w:rPr>
        <w:t>1,000,000.00) in restricted stock units of common shares in the Company. (the “Payment-In-Kind”) fixed at Thirty Dollars USD ($</w:t>
      </w:r>
      <w:bookmarkStart w:id="414" w:name="xdx_903_eus-gaap--BusinessAcquisitionSha"/>
      <w:bookmarkEnd w:id="414"/>
      <w:r>
        <w:rPr>
          <w:rFonts w:ascii="Times New Roman;Times;Serif" w:hAnsi="Times New Roman;Times;Serif"/>
          <w:b w:val="false"/>
          <w:i w:val="false"/>
          <w:caps w:val="false"/>
          <w:smallCaps w:val="false"/>
          <w:sz w:val="20"/>
        </w:rPr>
        <w:t>30.00) per share (the “Fixed Price”) post August 28, 2025 reverse stock split. The Purchase Price was to be paid out over five payments on the following schedule</w:t>
      </w:r>
      <w:r>
        <w:rPr>
          <w:rFonts w:ascii="Times New Roman;Times;Serif" w:hAnsi="Times New Roman;Times;Serif"/>
          <w:b w:val="false"/>
          <w:i/>
          <w:caps w:val="false"/>
          <w:smallCaps w:val="false"/>
          <w:sz w:val="20"/>
        </w:rPr>
        <w:t>: The</w:t>
      </w:r>
      <w:r>
        <w:rPr>
          <w:rFonts w:ascii="Times New Roman;Times;Serif" w:hAnsi="Times New Roman;Times;Serif"/>
          <w:b w:val="false"/>
          <w:i w:val="false"/>
          <w:caps w:val="false"/>
          <w:smallCaps w:val="false"/>
          <w:sz w:val="20"/>
        </w:rPr>
        <w:t xml:space="preserve"> first payment of $</w:t>
      </w:r>
      <w:bookmarkStart w:id="415" w:name="xdx_90D_ecustom--StockToBeIssuedDuringPe"/>
      <w:bookmarkEnd w:id="415"/>
      <w:r>
        <w:rPr>
          <w:rFonts w:ascii="Times New Roman;Times;Serif" w:hAnsi="Times New Roman;Times;Serif"/>
          <w:b w:val="false"/>
          <w:i w:val="false"/>
          <w:caps w:val="false"/>
          <w:smallCaps w:val="false"/>
          <w:sz w:val="20"/>
        </w:rPr>
        <w:t>150,000 in restricted common stock (</w:t>
      </w:r>
      <w:bookmarkStart w:id="416" w:name="xdx_90A_ecustom--StockToBeIssuedDuringPe"/>
      <w:bookmarkEnd w:id="416"/>
      <w:r>
        <w:rPr>
          <w:rFonts w:ascii="Times New Roman;Times;Serif" w:hAnsi="Times New Roman;Times;Serif"/>
          <w:b w:val="false"/>
          <w:i w:val="false"/>
          <w:caps w:val="false"/>
          <w:smallCaps w:val="false"/>
          <w:sz w:val="20"/>
        </w:rPr>
        <w:t>50,000 shares) of the Company is due and payable on September 1, 2024 (the “Completion Date” and the “First Issuance Date”.). The remaining payments in restricted common stock to the shareholders of Sports.com Media by the Company were made as follows: (i) a second payment of $</w:t>
      </w:r>
      <w:bookmarkStart w:id="417" w:name="xdx_902_ecustom--StockToBeIssuedDuringPe"/>
      <w:bookmarkEnd w:id="417"/>
      <w:r>
        <w:rPr>
          <w:rFonts w:ascii="Times New Roman;Times;Serif" w:hAnsi="Times New Roman;Times;Serif"/>
          <w:b w:val="false"/>
          <w:i w:val="false"/>
          <w:caps w:val="false"/>
          <w:smallCaps w:val="false"/>
          <w:sz w:val="20"/>
        </w:rPr>
        <w:t>212,500 (</w:t>
      </w:r>
      <w:bookmarkStart w:id="418" w:name="xdx_900_ecustom--StockToBeIssuedDuringPe"/>
      <w:bookmarkEnd w:id="418"/>
      <w:r>
        <w:rPr>
          <w:rFonts w:ascii="Times New Roman;Times;Serif" w:hAnsi="Times New Roman;Times;Serif"/>
          <w:b w:val="false"/>
          <w:i w:val="false"/>
          <w:caps w:val="false"/>
          <w:smallCaps w:val="false"/>
          <w:sz w:val="20"/>
        </w:rPr>
        <w:t>7,083 shares) due on or before the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following ninety days after the Completion Date (the Second Issuance Date”); (ii) a third payment, of $</w:t>
      </w:r>
      <w:bookmarkStart w:id="419" w:name="xdx_901_ecustom--StockToBeIssuedDuringPe"/>
      <w:bookmarkEnd w:id="419"/>
      <w:r>
        <w:rPr>
          <w:rFonts w:ascii="Times New Roman;Times;Serif" w:hAnsi="Times New Roman;Times;Serif"/>
          <w:b w:val="false"/>
          <w:i w:val="false"/>
          <w:caps w:val="false"/>
          <w:smallCaps w:val="false"/>
          <w:sz w:val="20"/>
        </w:rPr>
        <w:t>212,500 (</w:t>
      </w:r>
      <w:bookmarkStart w:id="420" w:name="xdx_909_ecustom--StockToBeIssuedDuringPe"/>
      <w:bookmarkEnd w:id="420"/>
      <w:r>
        <w:rPr>
          <w:rFonts w:ascii="Times New Roman;Times;Serif" w:hAnsi="Times New Roman;Times;Serif"/>
          <w:b w:val="false"/>
          <w:i w:val="false"/>
          <w:caps w:val="false"/>
          <w:smallCaps w:val="false"/>
          <w:sz w:val="20"/>
        </w:rPr>
        <w:t>7,083 shares) due on or before the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following ninety days after the Second Issuance Date (the Third Issuance Date”); (iii) a fourth payment of $</w:t>
      </w:r>
      <w:bookmarkStart w:id="421" w:name="xdx_906_ecustom--StockToBeIssuedDuringPe"/>
      <w:bookmarkEnd w:id="421"/>
      <w:r>
        <w:rPr>
          <w:rFonts w:ascii="Times New Roman;Times;Serif" w:hAnsi="Times New Roman;Times;Serif"/>
          <w:b w:val="false"/>
          <w:i w:val="false"/>
          <w:caps w:val="false"/>
          <w:smallCaps w:val="false"/>
          <w:sz w:val="20"/>
        </w:rPr>
        <w:t>212,500 (</w:t>
      </w:r>
      <w:bookmarkStart w:id="422" w:name="xdx_90E_ecustom--StockToBeIssuedDuringPe"/>
      <w:bookmarkEnd w:id="422"/>
      <w:r>
        <w:rPr>
          <w:rFonts w:ascii="Times New Roman;Times;Serif" w:hAnsi="Times New Roman;Times;Serif"/>
          <w:b w:val="false"/>
          <w:i w:val="false"/>
          <w:caps w:val="false"/>
          <w:smallCaps w:val="false"/>
          <w:sz w:val="20"/>
        </w:rPr>
        <w:t>7,083 shares) due on or before the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following ninety days after the Third Issuance Date (the “Fourth Issuance Date”); and (vi) a final and fifth payment of $</w:t>
      </w:r>
      <w:bookmarkStart w:id="423" w:name="xdx_90C_ecustom--StockToBeIssuedDuringPe"/>
      <w:bookmarkEnd w:id="423"/>
      <w:r>
        <w:rPr>
          <w:rFonts w:ascii="Times New Roman;Times;Serif" w:hAnsi="Times New Roman;Times;Serif"/>
          <w:b w:val="false"/>
          <w:i w:val="false"/>
          <w:caps w:val="false"/>
          <w:smallCaps w:val="false"/>
          <w:sz w:val="20"/>
        </w:rPr>
        <w:t>212,500 (</w:t>
      </w:r>
      <w:bookmarkStart w:id="424" w:name="xdx_90B_ecustom--StockToBeIssuedDuringPe"/>
      <w:bookmarkEnd w:id="424"/>
      <w:r>
        <w:rPr>
          <w:rFonts w:ascii="Times New Roman;Times;Serif" w:hAnsi="Times New Roman;Times;Serif"/>
          <w:b w:val="false"/>
          <w:i w:val="false"/>
          <w:caps w:val="false"/>
          <w:smallCaps w:val="false"/>
          <w:sz w:val="20"/>
        </w:rPr>
        <w:t>7,083 shares) due on or before the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following ninety days after the Fourth Issuance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closing price of the restricted stock units of common shares of the Company to be issued to the shareholders of Sports.com Media is lower than the Fixed Purchase Price on the six (6) month anniversary of any issuance date of said shares (collectively the “Anniversary Issuance Price”), then the Fixed Purchase Price shall be adjusted downward to the volume-weighted average price (“VWAP”) of the common stock for the five (5) consecutive trading days immediately preceding the six (6) month anniversary date of said issuance date. Accordingly, the Company shall be obligated to tender to the shareholders of Sports.com Media additional restricted stock units of common shares of the Company to make up the difference between the Fixed Purchase Price and the Anniversary Issuance Price.</w:t>
      </w:r>
    </w:p>
    <w:p>
      <w:pPr>
        <w:pStyle w:val="TextBody"/>
        <w:bidi w:val="0"/>
        <w:spacing w:before="0" w:after="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opening balance of Sports.com Media has been included in our consolidated balance sheet since the date of the acquisition. Since the Sports.com Media’s financial statements were denominated in British Pounds, the exchange rate of </w:t>
      </w:r>
      <w:bookmarkStart w:id="425" w:name="xdx_909_eus-gaap--PreferredStockDividend"/>
      <w:bookmarkEnd w:id="425"/>
      <w:r>
        <w:rPr>
          <w:rFonts w:ascii="Times New Roman;Times;Serif" w:hAnsi="Times New Roman;Times;Serif"/>
          <w:b w:val="false"/>
          <w:i w:val="false"/>
          <w:caps w:val="false"/>
          <w:smallCaps w:val="false"/>
          <w:sz w:val="20"/>
        </w:rPr>
        <w:t>1.3141 pounds per dollar was used to translate the balances.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purchase price was allocated to the assets and liabilities acquired as per the table below. Goodwill represents the future economic benefits arising from other assets acquired that could not be individually identified and separately recognized. The fair values of the acquired intangible assets were determined using the valuation analysis performed by a third-party valuation firm.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purchase price of $</w:t>
      </w:r>
      <w:bookmarkStart w:id="426" w:name="xdx_908_eus-gaap--BusinessCombinationCon"/>
      <w:bookmarkEnd w:id="426"/>
      <w:r>
        <w:rPr>
          <w:rFonts w:ascii="Times New Roman;Times;Serif" w:hAnsi="Times New Roman;Times;Serif"/>
          <w:b w:val="false"/>
          <w:i w:val="false"/>
          <w:caps w:val="false"/>
          <w:smallCaps w:val="false"/>
          <w:sz w:val="20"/>
        </w:rPr>
        <w:t xml:space="preserve">1,000,000 consists of </w:t>
      </w:r>
      <w:bookmarkStart w:id="427" w:name="xdx_90E_eus-gaap--StockIssuedDuringPerio"/>
      <w:bookmarkEnd w:id="427"/>
      <w:r>
        <w:rPr>
          <w:rFonts w:ascii="Times New Roman;Times;Serif" w:hAnsi="Times New Roman;Times;Serif"/>
          <w:b w:val="false"/>
          <w:i w:val="false"/>
          <w:caps w:val="false"/>
          <w:smallCaps w:val="false"/>
          <w:sz w:val="20"/>
        </w:rPr>
        <w:t>33,333 shares of common stock at $</w:t>
      </w:r>
      <w:bookmarkStart w:id="428" w:name="xdx_900_eus-gaap--BusinessAcquisitionSha"/>
      <w:bookmarkEnd w:id="428"/>
      <w:r>
        <w:rPr>
          <w:rFonts w:ascii="Times New Roman;Times;Serif" w:hAnsi="Times New Roman;Times;Serif"/>
          <w:b w:val="false"/>
          <w:i w:val="false"/>
          <w:caps w:val="false"/>
          <w:smallCaps w:val="false"/>
          <w:sz w:val="20"/>
        </w:rPr>
        <w:t>30.00 per share after the August 28, 2025 reverse split. The total consideration transferred after net assets and assumption of long-term debt was approximately $</w:t>
      </w:r>
      <w:bookmarkStart w:id="429" w:name="xdx_904_eus-gaap--PaymentsToAcquireBusin"/>
      <w:bookmarkEnd w:id="429"/>
      <w:r>
        <w:rPr>
          <w:rFonts w:ascii="Times New Roman;Times;Serif" w:hAnsi="Times New Roman;Times;Serif"/>
          <w:b w:val="false"/>
          <w:i w:val="false"/>
          <w:caps w:val="false"/>
          <w:smallCaps w:val="false"/>
          <w:sz w:val="20"/>
        </w:rPr>
        <w:t xml:space="preserve">440,000, reflecting the purchase price, net of cash on hand at Sports.com Media and the principal amount of certain loans assumed by the Company. The purchase price is for a </w:t>
      </w:r>
      <w:bookmarkStart w:id="430" w:name="xdx_901_eus-gaap--EquityMethodInvestment"/>
      <w:bookmarkEnd w:id="430"/>
      <w:r>
        <w:rPr>
          <w:rFonts w:ascii="Times New Roman;Times;Serif" w:hAnsi="Times New Roman;Times;Serif"/>
          <w:b w:val="false"/>
          <w:i w:val="false"/>
          <w:caps w:val="false"/>
          <w:smallCaps w:val="false"/>
          <w:sz w:val="20"/>
        </w:rPr>
        <w:t>100% ownership interest. The purchase price was allocated to the identified tangible and intangible assets acquired based on their estimated fair values at the acquisition date as follows:</w:t>
      </w:r>
    </w:p>
    <w:p>
      <w:pPr>
        <w:pStyle w:val="TextBody"/>
        <w:bidi w:val="0"/>
        <w:spacing w:before="0" w:after="0"/>
        <w:jc w:val="left"/>
        <w:rPr>
          <w:rFonts w:ascii="Times New Roman;Times;Serif" w:hAnsi="Times New Roman;Times;Serif"/>
          <w:b w:val="false"/>
          <w:i w:val="false"/>
          <w:caps w:val="false"/>
          <w:smallCaps w:val="false"/>
          <w:sz w:val="20"/>
        </w:rPr>
      </w:pPr>
      <w:bookmarkStart w:id="431" w:name="xdx_8B4_zFMlUrdgaPbc"/>
      <w:bookmarkStart w:id="432" w:name="xdx_892_eus-gaap--ScheduleOfBusinessAcqu"/>
      <w:bookmarkEnd w:id="431"/>
      <w:bookmarkEnd w:id="432"/>
      <w:r>
        <w:rPr>
          <w:rFonts w:ascii="Times New Roman;Times;Serif" w:hAnsi="Times New Roman;Times;Serif"/>
          <w:b w:val="false"/>
          <w:i w:val="false"/>
          <w:caps w:val="false"/>
          <w:smallCaps w:val="false"/>
          <w:sz w:val="20"/>
        </w:rPr>
        <w:t>Schedule of Identified Tangible and Intangible Asset Acquired </w:t>
      </w:r>
    </w:p>
    <w:tbl>
      <w:tblPr>
        <w:tblW w:w="4865" w:type="dxa"/>
        <w:jc w:val="left"/>
        <w:tblInd w:w="0" w:type="dxa"/>
        <w:tblLayout w:type="fixed"/>
        <w:tblCellMar>
          <w:top w:w="0" w:type="dxa"/>
          <w:left w:w="0" w:type="dxa"/>
          <w:bottom w:w="0" w:type="dxa"/>
          <w:right w:w="0" w:type="dxa"/>
        </w:tblCellMar>
      </w:tblPr>
      <w:tblGrid>
        <w:gridCol w:w="3575"/>
        <w:gridCol w:w="60"/>
        <w:gridCol w:w="140"/>
        <w:gridCol w:w="980"/>
        <w:gridCol w:w="110"/>
      </w:tblGrid>
      <w:tr>
        <w:trPr/>
        <w:tc>
          <w:tcPr>
            <w:tcW w:w="3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33" w:name="xdx_493_20240901_zHz9HjbKr8di"/>
            <w:bookmarkEnd w:id="433"/>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34" w:name="xdx_403_eus-gaap--BusinessCombinationRec"/>
            <w:bookmarkEnd w:id="434"/>
          </w:p>
        </w:tc>
      </w:tr>
      <w:tr>
        <w:trPr/>
        <w:tc>
          <w:tcPr>
            <w:tcW w:w="3575"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124,928</w:t>
            </w:r>
          </w:p>
        </w:tc>
        <w:tc>
          <w:tcPr>
            <w:tcW w:w="110" w:type="dxa"/>
            <w:tcBorders/>
            <w:shd w:fill="CCEEFF" w:val="clear"/>
            <w:vAlign w:val="center"/>
          </w:tcPr>
          <w:p>
            <w:pPr>
              <w:pStyle w:val="TableContents"/>
              <w:bidi w:val="0"/>
              <w:spacing w:before="0" w:after="283"/>
              <w:jc w:val="left"/>
              <w:rPr/>
            </w:pPr>
            <w:r>
              <w:rPr/>
              <w:t> </w:t>
            </w:r>
            <w:bookmarkStart w:id="435" w:name="xdx_40B_ecustom--BusinessCombinationReco"/>
            <w:bookmarkEnd w:id="435"/>
          </w:p>
        </w:tc>
      </w:tr>
      <w:tr>
        <w:trPr/>
        <w:tc>
          <w:tcPr>
            <w:tcW w:w="3575"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50,817</w:t>
            </w:r>
          </w:p>
        </w:tc>
        <w:tc>
          <w:tcPr>
            <w:tcW w:w="110" w:type="dxa"/>
            <w:tcBorders/>
            <w:shd w:fill="FFFFFF" w:val="clear"/>
            <w:vAlign w:val="center"/>
          </w:tcPr>
          <w:p>
            <w:pPr>
              <w:pStyle w:val="TableContents"/>
              <w:bidi w:val="0"/>
              <w:spacing w:before="0" w:after="283"/>
              <w:jc w:val="left"/>
              <w:rPr/>
            </w:pPr>
            <w:r>
              <w:rPr/>
              <w:t> </w:t>
            </w:r>
            <w:bookmarkStart w:id="436" w:name="xdx_40B_eus-gaap--BusinessCombinationRec"/>
            <w:bookmarkEnd w:id="436"/>
          </w:p>
        </w:tc>
      </w:tr>
      <w:tr>
        <w:trPr/>
        <w:tc>
          <w:tcPr>
            <w:tcW w:w="3575"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234,000</w:t>
            </w:r>
          </w:p>
        </w:tc>
        <w:tc>
          <w:tcPr>
            <w:tcW w:w="110" w:type="dxa"/>
            <w:tcBorders/>
            <w:shd w:fill="CCEEFF" w:val="clear"/>
            <w:vAlign w:val="center"/>
          </w:tcPr>
          <w:p>
            <w:pPr>
              <w:pStyle w:val="TableContents"/>
              <w:bidi w:val="0"/>
              <w:spacing w:before="0" w:after="283"/>
              <w:jc w:val="left"/>
              <w:rPr/>
            </w:pPr>
            <w:r>
              <w:rPr/>
              <w:t> </w:t>
            </w:r>
            <w:bookmarkStart w:id="437" w:name="xdx_405_eus-gaap--Goodwill_iI_pp0p0_z6IP"/>
            <w:bookmarkEnd w:id="437"/>
          </w:p>
        </w:tc>
      </w:tr>
      <w:tr>
        <w:trPr/>
        <w:tc>
          <w:tcPr>
            <w:tcW w:w="357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1,315,000</w:t>
            </w:r>
          </w:p>
        </w:tc>
        <w:tc>
          <w:tcPr>
            <w:tcW w:w="110" w:type="dxa"/>
            <w:tcBorders/>
            <w:shd w:fill="FFFFFF" w:val="clear"/>
            <w:vAlign w:val="center"/>
          </w:tcPr>
          <w:p>
            <w:pPr>
              <w:pStyle w:val="TableContents"/>
              <w:bidi w:val="0"/>
              <w:spacing w:before="0" w:after="283"/>
              <w:jc w:val="left"/>
              <w:rPr/>
            </w:pPr>
            <w:r>
              <w:rPr/>
              <w:t> </w:t>
            </w:r>
            <w:bookmarkStart w:id="438" w:name="xdx_402_eus-gaap--BusinessCombinationRec"/>
            <w:bookmarkEnd w:id="438"/>
          </w:p>
        </w:tc>
      </w:tr>
      <w:tr>
        <w:trPr/>
        <w:tc>
          <w:tcPr>
            <w:tcW w:w="357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1,724,745</w:t>
            </w:r>
          </w:p>
        </w:tc>
        <w:tc>
          <w:tcPr>
            <w:tcW w:w="11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39" w:name="xdx_40F_eus-gaap--BusinessCombinationRec"/>
            <w:bookmarkEnd w:id="439"/>
          </w:p>
        </w:tc>
      </w:tr>
      <w:tr>
        <w:trPr/>
        <w:tc>
          <w:tcPr>
            <w:tcW w:w="3575" w:type="dxa"/>
            <w:tcBorders/>
            <w:shd w:fill="CCEEFF" w:val="clear"/>
            <w:vAlign w:val="center"/>
          </w:tcPr>
          <w:p>
            <w:pPr>
              <w:pStyle w:val="TableContents"/>
              <w:bidi w:val="0"/>
              <w:spacing w:before="0" w:after="283"/>
              <w:jc w:val="left"/>
              <w:rPr/>
            </w:pPr>
            <w:r>
              <w:rPr/>
              <w:t>Accounts payable and 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(175,543</w:t>
            </w:r>
          </w:p>
        </w:tc>
        <w:tc>
          <w:tcPr>
            <w:tcW w:w="110" w:type="dxa"/>
            <w:tcBorders/>
            <w:shd w:fill="CCEEFF" w:val="clear"/>
            <w:vAlign w:val="center"/>
          </w:tcPr>
          <w:p>
            <w:pPr>
              <w:pStyle w:val="TableContents"/>
              <w:bidi w:val="0"/>
              <w:spacing w:before="0" w:after="283"/>
              <w:jc w:val="left"/>
              <w:rPr/>
            </w:pPr>
            <w:r>
              <w:rPr/>
              <w:t>)</w:t>
            </w:r>
            <w:bookmarkStart w:id="440" w:name="xdx_408_ecustom--BusinessCombinationReco"/>
            <w:bookmarkEnd w:id="440"/>
          </w:p>
        </w:tc>
      </w:tr>
      <w:tr>
        <w:trPr/>
        <w:tc>
          <w:tcPr>
            <w:tcW w:w="3575" w:type="dxa"/>
            <w:tcBorders/>
            <w:shd w:fill="FFFFFF" w:val="clear"/>
            <w:vAlign w:val="center"/>
          </w:tcPr>
          <w:p>
            <w:pPr>
              <w:pStyle w:val="TableContents"/>
              <w:bidi w:val="0"/>
              <w:spacing w:before="0" w:after="283"/>
              <w:jc w:val="left"/>
              <w:rPr/>
            </w:pPr>
            <w:r>
              <w:rPr/>
              <w:t>Director’s Loan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(558,632</w:t>
            </w:r>
          </w:p>
        </w:tc>
        <w:tc>
          <w:tcPr>
            <w:tcW w:w="110" w:type="dxa"/>
            <w:tcBorders/>
            <w:shd w:fill="FFFFFF" w:val="clear"/>
            <w:vAlign w:val="center"/>
          </w:tcPr>
          <w:p>
            <w:pPr>
              <w:pStyle w:val="TableContents"/>
              <w:bidi w:val="0"/>
              <w:spacing w:before="0" w:after="283"/>
              <w:jc w:val="left"/>
              <w:rPr/>
            </w:pPr>
            <w:r>
              <w:rPr/>
              <w:t>)</w:t>
            </w:r>
            <w:bookmarkStart w:id="441" w:name="xdx_400_eus-gaap--BusinessCombinationRec"/>
            <w:bookmarkEnd w:id="441"/>
          </w:p>
        </w:tc>
      </w:tr>
      <w:tr>
        <w:trPr/>
        <w:tc>
          <w:tcPr>
            <w:tcW w:w="357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(734,175</w:t>
            </w:r>
          </w:p>
        </w:tc>
        <w:tc>
          <w:tcPr>
            <w:tcW w:w="110" w:type="dxa"/>
            <w:tcBorders/>
            <w:shd w:fill="CCEEFF" w:val="clear"/>
            <w:vAlign w:val="center"/>
          </w:tcPr>
          <w:p>
            <w:pPr>
              <w:pStyle w:val="TableContents"/>
              <w:bidi w:val="0"/>
              <w:spacing w:before="0" w:after="283"/>
              <w:jc w:val="left"/>
              <w:rPr/>
            </w:pPr>
            <w:r>
              <w:rPr/>
              <w:t>)</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42" w:name="xdx_409_eus-gaap--BusinessCombinationRec"/>
            <w:bookmarkEnd w:id="442"/>
          </w:p>
        </w:tc>
      </w:tr>
      <w:tr>
        <w:trPr/>
        <w:tc>
          <w:tcPr>
            <w:tcW w:w="3575" w:type="dxa"/>
            <w:tcBorders/>
            <w:shd w:fill="CCEEFF" w:val="clear"/>
            <w:vAlign w:val="center"/>
          </w:tcPr>
          <w:p>
            <w:pPr>
              <w:pStyle w:val="TableContents"/>
              <w:bidi w:val="0"/>
              <w:spacing w:before="0" w:after="283"/>
              <w:jc w:val="left"/>
              <w:rPr>
                <w:b/>
              </w:rPr>
            </w:pPr>
            <w:r>
              <w:rPr>
                <w:b/>
              </w:rPr>
              <w:t>Total net assets of Acquirees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990,570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443" w:name="xdx_8AA_z4hpA2lgM7Zi"/>
      <w:bookmarkEnd w:id="443"/>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Acquisition- PlusEVO Ltd. and Spektrum Ltd. (March 2025)</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2025, the Company entered into a Stock Purchase and Sale Agreement to acquire certain assets from PlusEVO Ltd. and to create a new entity, Spektrum Ltd, which will become a provider of technology supporting international lottery and gaming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for the asset acquisition was $</w:t>
      </w:r>
      <w:bookmarkStart w:id="444" w:name="xdx_902_eus-gaap--AssetAcquisitionPriceO"/>
      <w:bookmarkEnd w:id="444"/>
      <w:r>
        <w:rPr>
          <w:rFonts w:ascii="Times New Roman;Times;Serif" w:hAnsi="Times New Roman;Times;Serif"/>
          <w:b w:val="false"/>
          <w:i w:val="false"/>
          <w:caps w:val="false"/>
          <w:smallCaps w:val="false"/>
          <w:sz w:val="20"/>
        </w:rPr>
        <w:t xml:space="preserve">1.5 million, payable in </w:t>
      </w:r>
      <w:bookmarkStart w:id="445" w:name="xdx_904_eus-gaap--SharesIssued_iI_pid_c2"/>
      <w:bookmarkEnd w:id="445"/>
      <w:r>
        <w:rPr>
          <w:rFonts w:ascii="Times New Roman;Times;Serif" w:hAnsi="Times New Roman;Times;Serif"/>
          <w:b w:val="false"/>
          <w:i w:val="false"/>
          <w:caps w:val="false"/>
          <w:smallCaps w:val="false"/>
          <w:sz w:val="20"/>
        </w:rPr>
        <w:t>50,000 shares of the Company’s restricted common stock at a fixed price of $</w:t>
      </w:r>
      <w:bookmarkStart w:id="446" w:name="xdx_903_eus-gaap--SharesIssuedPricePerSh"/>
      <w:bookmarkEnd w:id="446"/>
      <w:r>
        <w:rPr>
          <w:rFonts w:ascii="Times New Roman;Times;Serif" w:hAnsi="Times New Roman;Times;Serif"/>
          <w:b w:val="false"/>
          <w:i w:val="false"/>
          <w:caps w:val="false"/>
          <w:smallCaps w:val="false"/>
          <w:sz w:val="20"/>
        </w:rPr>
        <w:t>30.00 per share. The shares are to be issued in five installments over a 30-month period following closing, subject to specified vesting and restriction terms. The agreement includes a price protection feature under which additional shares may be issued if the Company’s stock price is below the fixed price at certain measurement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Asset Acquisition-DotCom Ventures Inc. (August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23, 2025 the Company acquired a </w:t>
      </w:r>
      <w:bookmarkStart w:id="447" w:name="xdx_907_eus-gaap--BusinessCombinationSte"/>
      <w:bookmarkEnd w:id="447"/>
      <w:r>
        <w:rPr>
          <w:rFonts w:ascii="Times New Roman;Times;Serif" w:hAnsi="Times New Roman;Times;Serif"/>
          <w:b w:val="false"/>
          <w:i w:val="false"/>
          <w:caps w:val="false"/>
          <w:smallCaps w:val="false"/>
          <w:sz w:val="20"/>
        </w:rPr>
        <w:t>51% interest in the assets of DotCom Ventures Inc., consisting primarily of the Concerts.com and TicketStub.com domain names and certain related technology assets. The Company evaluated the transaction under the applicable accounting guidance and concluded that the acquired set of assets did not meet the definition of a business because there was no substantive process where a set of inputs could be converted into specific outputs and there was no workforce consisting of employees or organized contractors in place for converting acquired inputs into outputs as of December 31, 2025. Accordingly, the transaction has been accounted for as an asset acquisition, with the purchase price allocated to the acquired assets based on their relative fair values. As of December 31, 2025, the acquired assets are included within intangible assets on the accompanying consolidated balance sheet. The Company expects this transaction to change to controlling interest in the first quarter of 2026 when a workforce and substantive process will be in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48" w:name="xdx_80B_eus-gaap--PropertyPlantAndEquipm"/>
      <w:bookmarkEnd w:id="448"/>
      <w:r>
        <w:rPr>
          <w:rFonts w:ascii="Times New Roman;Times;Serif" w:hAnsi="Times New Roman;Times;Serif"/>
          <w:b/>
          <w:i w:val="false"/>
          <w:caps w:val="false"/>
          <w:smallCaps w:val="false"/>
          <w:sz w:val="20"/>
        </w:rPr>
        <w:t xml:space="preserve">Note 4. </w:t>
      </w:r>
      <w:bookmarkStart w:id="449" w:name="xdx_82A_zrNmPLUzZYkj"/>
      <w:bookmarkEnd w:id="449"/>
      <w:r>
        <w:rPr>
          <w:rFonts w:ascii="Times New Roman;Times;Serif" w:hAnsi="Times New Roman;Times;Serif"/>
          <w:b/>
          <w:i w:val="false"/>
          <w:caps w:val="false"/>
          <w:smallCaps w:val="false"/>
          <w:sz w:val="20"/>
        </w:rPr>
        <w:t>Property and Equipment, net</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bookmarkStart w:id="450" w:name="xdx_89E_eus-gaap--PropertyPlantAndEquipm"/>
      <w:bookmarkEnd w:id="450"/>
      <w:r>
        <w:rPr>
          <w:rFonts w:ascii="Times New Roman;Times;Serif" w:hAnsi="Times New Roman;Times;Serif"/>
          <w:b w:val="false"/>
          <w:i w:val="false"/>
          <w:caps w:val="false"/>
          <w:smallCaps w:val="false"/>
          <w:sz w:val="20"/>
        </w:rPr>
        <w:t>Property and equipment, net as of December 31, 2025 and 2024, consisted of the following:</w:t>
      </w:r>
    </w:p>
    <w:p>
      <w:pPr>
        <w:pStyle w:val="TextBody"/>
        <w:bidi w:val="0"/>
        <w:spacing w:before="0" w:after="0"/>
        <w:jc w:val="left"/>
        <w:rPr>
          <w:caps w:val="false"/>
          <w:smallCaps w:val="false"/>
        </w:rPr>
      </w:pPr>
      <w:r>
        <w:rPr>
          <w:caps w:val="false"/>
          <w:smallCaps w:val="false"/>
        </w:rPr>
        <w:t> </w:t>
      </w:r>
    </w:p>
    <w:p>
      <w:pPr>
        <w:pStyle w:val="TextBody"/>
        <w:bidi w:val="0"/>
        <w:spacing w:before="0" w:after="283"/>
        <w:jc w:val="left"/>
        <w:rPr/>
      </w:pPr>
      <w:bookmarkStart w:id="451" w:name="xdx_8BF_zpgmZpKClHt8"/>
      <w:bookmarkEnd w:id="451"/>
      <w:r>
        <w:rPr/>
        <w:t>Schedule of Property and Equipment</w:t>
      </w:r>
    </w:p>
    <w:p>
      <w:pPr>
        <w:pStyle w:val="TextBody"/>
        <w:bidi w:val="0"/>
        <w:spacing w:before="0" w:after="283"/>
        <w:jc w:val="left"/>
        <w:rPr/>
      </w:pPr>
      <w:r>
        <w:rPr/>
        <w:t> </w:t>
      </w:r>
    </w:p>
    <w:tbl>
      <w:tblPr>
        <w:tblW w:w="6938" w:type="dxa"/>
        <w:jc w:val="left"/>
        <w:tblInd w:w="0" w:type="dxa"/>
        <w:tblLayout w:type="fixed"/>
        <w:tblCellMar>
          <w:top w:w="0" w:type="dxa"/>
          <w:left w:w="0" w:type="dxa"/>
          <w:bottom w:w="0" w:type="dxa"/>
          <w:right w:w="0" w:type="dxa"/>
        </w:tblCellMar>
      </w:tblPr>
      <w:tblGrid>
        <w:gridCol w:w="2705"/>
        <w:gridCol w:w="60"/>
        <w:gridCol w:w="229"/>
        <w:gridCol w:w="1725"/>
        <w:gridCol w:w="95"/>
        <w:gridCol w:w="60"/>
        <w:gridCol w:w="229"/>
        <w:gridCol w:w="1725"/>
        <w:gridCol w:w="110"/>
      </w:tblGrid>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52" w:name="xdx_494_20251231_zpybAANl8YTl"/>
            <w:bookmarkEnd w:id="452"/>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53" w:name="xdx_494_20241231_zNPNcSX2O6Q2"/>
            <w:bookmarkEnd w:id="453"/>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10" w:type="dxa"/>
            <w:tcBorders/>
            <w:vAlign w:val="center"/>
          </w:tcPr>
          <w:p>
            <w:pPr>
              <w:pStyle w:val="TableContents"/>
              <w:bidi w:val="0"/>
              <w:spacing w:before="0" w:after="283"/>
              <w:jc w:val="center"/>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454" w:name="xdx_402_eus-gaap--PropertyPlantAndEquipm"/>
            <w:bookmarkEnd w:id="454"/>
          </w:p>
        </w:tc>
      </w:tr>
      <w:tr>
        <w:trPr/>
        <w:tc>
          <w:tcPr>
            <w:tcW w:w="2705" w:type="dxa"/>
            <w:tcBorders/>
            <w:shd w:fill="CCEEFF" w:val="clear"/>
            <w:vAlign w:val="center"/>
          </w:tcPr>
          <w:p>
            <w:pPr>
              <w:pStyle w:val="TableContents"/>
              <w:bidi w:val="0"/>
              <w:spacing w:before="0" w:after="283"/>
              <w:jc w:val="left"/>
              <w:rPr/>
            </w:pPr>
            <w:r>
              <w:rPr/>
              <w:t>Computers and equipment</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1725" w:type="dxa"/>
            <w:tcBorders/>
            <w:shd w:fill="CCEEFF" w:val="clear"/>
            <w:vAlign w:val="center"/>
          </w:tcPr>
          <w:p>
            <w:pPr>
              <w:pStyle w:val="TableContents"/>
              <w:bidi w:val="0"/>
              <w:spacing w:before="0" w:after="283"/>
              <w:jc w:val="right"/>
              <w:rPr/>
            </w:pPr>
            <w:r>
              <w:rPr/>
              <w:t>115,162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1725" w:type="dxa"/>
            <w:tcBorders/>
            <w:shd w:fill="CCEEFF" w:val="clear"/>
            <w:vAlign w:val="center"/>
          </w:tcPr>
          <w:p>
            <w:pPr>
              <w:pStyle w:val="TableContents"/>
              <w:bidi w:val="0"/>
              <w:spacing w:before="0" w:after="283"/>
              <w:jc w:val="right"/>
              <w:rPr/>
            </w:pPr>
            <w:r>
              <w:rPr/>
              <w:t>123,911</w:t>
            </w:r>
          </w:p>
        </w:tc>
        <w:tc>
          <w:tcPr>
            <w:tcW w:w="110" w:type="dxa"/>
            <w:tcBorders/>
            <w:shd w:fill="CCEEFF" w:val="clear"/>
            <w:vAlign w:val="center"/>
          </w:tcPr>
          <w:p>
            <w:pPr>
              <w:pStyle w:val="TableContents"/>
              <w:bidi w:val="0"/>
              <w:spacing w:before="0" w:after="283"/>
              <w:jc w:val="left"/>
              <w:rPr/>
            </w:pPr>
            <w:r>
              <w:rPr/>
              <w:t> </w:t>
            </w:r>
            <w:bookmarkStart w:id="455" w:name="xdx_402_eus-gaap--PropertyPlantAndEquipm"/>
            <w:bookmarkEnd w:id="455"/>
          </w:p>
        </w:tc>
      </w:tr>
      <w:tr>
        <w:trPr/>
        <w:tc>
          <w:tcPr>
            <w:tcW w:w="2705"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pPr>
            <w:r>
              <w:rPr/>
              <w:t>18,612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pPr>
            <w:r>
              <w:rPr/>
              <w:t>16,900</w:t>
            </w:r>
          </w:p>
        </w:tc>
        <w:tc>
          <w:tcPr>
            <w:tcW w:w="110" w:type="dxa"/>
            <w:tcBorders/>
            <w:shd w:fill="FFFFFF" w:val="clear"/>
            <w:vAlign w:val="center"/>
          </w:tcPr>
          <w:p>
            <w:pPr>
              <w:pStyle w:val="TableContents"/>
              <w:bidi w:val="0"/>
              <w:spacing w:before="0" w:after="283"/>
              <w:jc w:val="left"/>
              <w:rPr/>
            </w:pPr>
            <w:r>
              <w:rPr/>
              <w:t> </w:t>
            </w:r>
            <w:bookmarkStart w:id="456" w:name="xdx_40A_eus-gaap--PropertyPlantAndEquipm"/>
            <w:bookmarkEnd w:id="456"/>
          </w:p>
        </w:tc>
      </w:tr>
      <w:tr>
        <w:trPr/>
        <w:tc>
          <w:tcPr>
            <w:tcW w:w="2705" w:type="dxa"/>
            <w:tcBorders/>
            <w:shd w:fill="CCEEFF" w:val="clear"/>
            <w:vAlign w:val="center"/>
          </w:tcPr>
          <w:p>
            <w:pPr>
              <w:pStyle w:val="TableContents"/>
              <w:bidi w:val="0"/>
              <w:spacing w:before="0" w:after="283"/>
              <w:jc w:val="left"/>
              <w:rPr/>
            </w:pPr>
            <w:r>
              <w:rPr/>
              <w:t>Software</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pPr>
            <w:r>
              <w:rPr/>
              <w:t>2,026,200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pPr>
            <w:r>
              <w:rPr/>
              <w:t>2,026,200</w:t>
            </w:r>
          </w:p>
        </w:tc>
        <w:tc>
          <w:tcPr>
            <w:tcW w:w="110" w:type="dxa"/>
            <w:tcBorders/>
            <w:shd w:fill="CCEEFF" w:val="clear"/>
            <w:vAlign w:val="center"/>
          </w:tcPr>
          <w:p>
            <w:pPr>
              <w:pStyle w:val="TableContents"/>
              <w:bidi w:val="0"/>
              <w:spacing w:before="0" w:after="283"/>
              <w:jc w:val="left"/>
              <w:rPr/>
            </w:pPr>
            <w:r>
              <w:rPr/>
              <w:t> </w:t>
            </w:r>
            <w:bookmarkStart w:id="457" w:name="xdx_40D_eus-gaap--PropertyPlantAndEquipm"/>
            <w:bookmarkEnd w:id="457"/>
          </w:p>
        </w:tc>
      </w:tr>
      <w:tr>
        <w:trPr/>
        <w:tc>
          <w:tcPr>
            <w:tcW w:w="2705" w:type="dxa"/>
            <w:tcBorders/>
            <w:shd w:fill="FFFFFF" w:val="clear"/>
            <w:vAlign w:val="center"/>
          </w:tcPr>
          <w:p>
            <w:pPr>
              <w:pStyle w:val="TableContents"/>
              <w:bidi w:val="0"/>
              <w:spacing w:before="0" w:after="283"/>
              <w:jc w:val="left"/>
              <w:rPr/>
            </w:pPr>
            <w:r>
              <w:rPr/>
              <w:t>Property and equipment</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pPr>
            <w:r>
              <w:rPr/>
              <w:t>2,159,974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pPr>
            <w:r>
              <w:rPr/>
              <w:t>2,167,011</w:t>
            </w:r>
          </w:p>
        </w:tc>
        <w:tc>
          <w:tcPr>
            <w:tcW w:w="110" w:type="dxa"/>
            <w:tcBorders/>
            <w:shd w:fill="FFFFFF" w:val="clear"/>
            <w:vAlign w:val="center"/>
          </w:tcPr>
          <w:p>
            <w:pPr>
              <w:pStyle w:val="TableContents"/>
              <w:bidi w:val="0"/>
              <w:spacing w:before="0" w:after="283"/>
              <w:jc w:val="left"/>
              <w:rPr/>
            </w:pPr>
            <w:r>
              <w:rPr/>
              <w:t> </w:t>
            </w:r>
            <w:bookmarkStart w:id="458" w:name="xdx_400_eus-gaap--AccumulatedDepreciatio"/>
            <w:bookmarkEnd w:id="458"/>
          </w:p>
        </w:tc>
      </w:tr>
      <w:tr>
        <w:trPr/>
        <w:tc>
          <w:tcPr>
            <w:tcW w:w="2705" w:type="dxa"/>
            <w:tcBorders/>
            <w:shd w:fill="CCEEFF" w:val="clear"/>
            <w:vAlign w:val="center"/>
          </w:tcPr>
          <w:p>
            <w:pPr>
              <w:pStyle w:val="TableContents"/>
              <w:bidi w:val="0"/>
              <w:spacing w:before="0" w:after="283"/>
              <w:jc w:val="left"/>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pPr>
            <w:r>
              <w:rPr/>
              <w:t>(2,158,879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pPr>
            <w:r>
              <w:rPr/>
              <w:t>(2,154,887</w:t>
            </w:r>
          </w:p>
        </w:tc>
        <w:tc>
          <w:tcPr>
            <w:tcW w:w="110" w:type="dxa"/>
            <w:tcBorders/>
            <w:shd w:fill="CCEEFF" w:val="clear"/>
            <w:vAlign w:val="center"/>
          </w:tcPr>
          <w:p>
            <w:pPr>
              <w:pStyle w:val="TableContents"/>
              <w:bidi w:val="0"/>
              <w:spacing w:before="0" w:after="283"/>
              <w:jc w:val="left"/>
              <w:rPr/>
            </w:pPr>
            <w:r>
              <w:rPr/>
              <w:t>)</w:t>
            </w:r>
            <w:bookmarkStart w:id="459" w:name="xdx_409_eus-gaap--PropertyPlantAndEquipm"/>
            <w:bookmarkEnd w:id="459"/>
          </w:p>
        </w:tc>
      </w:tr>
      <w:tr>
        <w:trPr/>
        <w:tc>
          <w:tcPr>
            <w:tcW w:w="270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25" w:type="dxa"/>
            <w:tcBorders>
              <w:bottom w:val="double" w:sz="6" w:space="0" w:color="000000"/>
            </w:tcBorders>
            <w:shd w:fill="FFFFFF" w:val="clear"/>
            <w:tcMar>
              <w:bottom w:w="28" w:type="dxa"/>
            </w:tcMar>
            <w:vAlign w:val="center"/>
          </w:tcPr>
          <w:p>
            <w:pPr>
              <w:pStyle w:val="TableContents"/>
              <w:bidi w:val="0"/>
              <w:spacing w:before="0" w:after="283"/>
              <w:jc w:val="right"/>
              <w:rPr/>
            </w:pPr>
            <w:r>
              <w:rPr/>
              <w:t>1,095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25" w:type="dxa"/>
            <w:tcBorders>
              <w:bottom w:val="double" w:sz="6" w:space="0" w:color="000000"/>
            </w:tcBorders>
            <w:shd w:fill="FFFFFF" w:val="clear"/>
            <w:tcMar>
              <w:bottom w:w="28" w:type="dxa"/>
            </w:tcMar>
            <w:vAlign w:val="center"/>
          </w:tcPr>
          <w:p>
            <w:pPr>
              <w:pStyle w:val="TableContents"/>
              <w:bidi w:val="0"/>
              <w:spacing w:before="0" w:after="283"/>
              <w:jc w:val="right"/>
              <w:rPr/>
            </w:pPr>
            <w:r>
              <w:rPr/>
              <w:t>12,124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460" w:name="xdx_8AD_zusca6jB4E46"/>
      <w:bookmarkEnd w:id="460"/>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years ended December 31, 2025 and 2024 amounted to $</w:t>
      </w:r>
      <w:bookmarkStart w:id="461" w:name="xdx_902_eus-gaap--Depreciation_c20250101"/>
      <w:bookmarkEnd w:id="461"/>
      <w:r>
        <w:rPr>
          <w:rFonts w:ascii="Times New Roman;Times;Serif" w:hAnsi="Times New Roman;Times;Serif"/>
          <w:b w:val="false"/>
          <w:i w:val="false"/>
          <w:caps w:val="false"/>
          <w:smallCaps w:val="false"/>
          <w:sz w:val="20"/>
        </w:rPr>
        <w:t>4,241 and $</w:t>
      </w:r>
      <w:bookmarkStart w:id="462" w:name="xdx_90A_eus-gaap--Depreciation_c20240101"/>
      <w:bookmarkEnd w:id="462"/>
      <w:r>
        <w:rPr>
          <w:rFonts w:ascii="Times New Roman;Times;Serif" w:hAnsi="Times New Roman;Times;Serif"/>
          <w:b w:val="false"/>
          <w:i w:val="false"/>
          <w:caps w:val="false"/>
          <w:smallCaps w:val="false"/>
          <w:sz w:val="20"/>
        </w:rPr>
        <w:t>9,185, respectively.</w:t>
      </w:r>
    </w:p>
    <w:p>
      <w:pPr>
        <w:pStyle w:val="TextBody"/>
        <w:bidi w:val="0"/>
        <w:spacing w:before="0" w:after="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63" w:name="xdx_801_ecustom--PrepaidExpensesDisclosu"/>
      <w:bookmarkEnd w:id="463"/>
      <w:r>
        <w:rPr>
          <w:rFonts w:ascii="Times New Roman;Times;Serif" w:hAnsi="Times New Roman;Times;Serif"/>
          <w:b/>
          <w:i w:val="false"/>
          <w:caps w:val="false"/>
          <w:smallCaps w:val="false"/>
          <w:sz w:val="20"/>
        </w:rPr>
        <w:t xml:space="preserve">Note 5. </w:t>
      </w:r>
      <w:bookmarkStart w:id="464" w:name="xdx_824_zW3vZSbOKgy3"/>
      <w:bookmarkEnd w:id="464"/>
      <w:r>
        <w:rPr>
          <w:rFonts w:ascii="Times New Roman;Times;Serif" w:hAnsi="Times New Roman;Times;Serif"/>
          <w:b/>
          <w:i w:val="false"/>
          <w:caps w:val="false"/>
          <w:smallCaps w:val="false"/>
          <w:sz w:val="20"/>
        </w:rPr>
        <w:t>Prepaid Expenses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consist primarily of advertising credits from two top tier media organizations that operate in the United States. The advertising credits were obtained in return for warrants, shares of common stock and shares of preferred stock. The agreements do not specify a time period for utilizing these credits and there is no requirement to provide cash or other consideration in connection with utilizing them. The balance can be utilized at any time at the mutual consent of the parties. The Company expects to begin utilizing these credits in the third quarter of 2026. Accordingly, they are presented as current assets.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65" w:name="xdx_803_eus-gaap--AccountsAndNontradeRec"/>
      <w:bookmarkEnd w:id="465"/>
      <w:r>
        <w:rPr>
          <w:rFonts w:ascii="Times New Roman;Times;Serif" w:hAnsi="Times New Roman;Times;Serif"/>
          <w:b/>
          <w:i w:val="false"/>
          <w:caps w:val="false"/>
          <w:smallCaps w:val="false"/>
          <w:sz w:val="20"/>
        </w:rPr>
        <w:t xml:space="preserve">Note 6. </w:t>
      </w:r>
      <w:bookmarkStart w:id="466" w:name="xdx_825_zPoqqsls3Brk"/>
      <w:bookmarkEnd w:id="466"/>
      <w:r>
        <w:rPr>
          <w:rFonts w:ascii="Times New Roman;Times;Serif" w:hAnsi="Times New Roman;Times;Serif"/>
          <w:b/>
          <w:i w:val="false"/>
          <w:caps w:val="false"/>
          <w:smallCaps w:val="false"/>
          <w:sz w:val="20"/>
        </w:rPr>
        <w:t>Notes Receivable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Secured Note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22, 2022, the Company entered into a three-year secured promissory note with an original carrying amount of $</w:t>
      </w:r>
      <w:bookmarkStart w:id="467" w:name="xdx_900_eus-gaap--DebtInstrumentFaceAmou"/>
      <w:bookmarkEnd w:id="467"/>
      <w:r>
        <w:rPr>
          <w:rFonts w:ascii="Times New Roman;Times;Serif" w:hAnsi="Times New Roman;Times;Serif"/>
          <w:b w:val="false"/>
          <w:i w:val="false"/>
          <w:caps w:val="false"/>
          <w:smallCaps w:val="false"/>
          <w:sz w:val="20"/>
        </w:rPr>
        <w:t xml:space="preserve">2,000,000. The note bears simple interest at approximately </w:t>
      </w:r>
      <w:bookmarkStart w:id="468" w:name="xdx_902_eus-gaap--DebtInstrumentInterest"/>
      <w:bookmarkEnd w:id="468"/>
      <w:r>
        <w:rPr>
          <w:rFonts w:ascii="Times New Roman;Times;Serif" w:hAnsi="Times New Roman;Times;Serif"/>
          <w:b w:val="false"/>
          <w:i w:val="false"/>
          <w:caps w:val="false"/>
          <w:smallCaps w:val="false"/>
          <w:sz w:val="20"/>
        </w:rPr>
        <w:t>3.1% per annum, with principal and accrued interest due upon maturity. The note is secured by substantially all assets, accounts, and tangible and intangible property of the borrower and is further supported by a personal guarantee from the borrower’s principal. The borrower may prepay the note at any time without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was received in consideration for cash advanced by the Company to the borrower, including a previously funded bridge loan, and in connection with a broader technology development and licensing relationship under which the Company agreed to develop technology for use by the borrower in connection with the launch of an online gaming platform in a jurisdiction outside the United States. As of December 31, 2025, the outstanding principal balance of the note was $</w:t>
      </w:r>
      <w:bookmarkStart w:id="469" w:name="xdx_909_eus-gaap--NotesAndLoansReceivabl"/>
      <w:bookmarkEnd w:id="469"/>
      <w:r>
        <w:rPr>
          <w:rFonts w:ascii="Times New Roman;Times;Serif" w:hAnsi="Times New Roman;Times;Serif"/>
          <w:b w:val="false"/>
          <w:i w:val="false"/>
          <w:caps w:val="false"/>
          <w:smallCaps w:val="false"/>
          <w:sz w:val="20"/>
        </w:rPr>
        <w:t>2,000,000.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matured during 2025 and remained outstanding as of December 31, 2025. Management evaluated the collectability of the note in accordance with ASC 326, including consideration of the Company’s security interests, the personal guarantee, and the contractual enforcement rights available under the related agreements. Based on this evaluation, management concluded that the recorded carrying amount of the note remains recoverable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SP Global Holdings</w:t>
      </w:r>
    </w:p>
    <w:p>
      <w:pPr>
        <w:pStyle w:val="TextBody"/>
        <w:bidi w:val="0"/>
        <w:spacing w:before="0" w:after="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2021, the Company provided $</w:t>
      </w:r>
      <w:bookmarkStart w:id="470" w:name="xdx_907_eus-gaap--LongTermAccountsNotesA"/>
      <w:bookmarkEnd w:id="470"/>
      <w:r>
        <w:rPr>
          <w:rFonts w:ascii="Times New Roman;Times;Serif" w:hAnsi="Times New Roman;Times;Serif"/>
          <w:b w:val="false"/>
          <w:i w:val="false"/>
          <w:caps w:val="false"/>
          <w:smallCaps w:val="false"/>
          <w:sz w:val="20"/>
        </w:rPr>
        <w:t xml:space="preserve">250,000 to SP Global Holdings in exchange for a 3 year promissory note with interest at </w:t>
      </w:r>
      <w:bookmarkStart w:id="471" w:name="xdx_908_eus-gaap--DebtInstrumentInterest"/>
      <w:bookmarkEnd w:id="471"/>
      <w:r>
        <w:rPr>
          <w:rFonts w:ascii="Times New Roman;Times;Serif" w:hAnsi="Times New Roman;Times;Serif"/>
          <w:b w:val="false"/>
          <w:i w:val="false"/>
          <w:caps w:val="false"/>
          <w:smallCaps w:val="false"/>
          <w:sz w:val="20"/>
        </w:rPr>
        <w:t>8%. Principal and accrued interest were due in a balloon payment at maturity. The note was repaid in March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72" w:name="xdx_806_eus-gaap--GoodwillAndIntangibleA"/>
      <w:bookmarkEnd w:id="472"/>
      <w:r>
        <w:rPr>
          <w:rFonts w:ascii="Times New Roman;Times;Serif" w:hAnsi="Times New Roman;Times;Serif"/>
          <w:b/>
          <w:i w:val="false"/>
          <w:caps w:val="false"/>
          <w:smallCaps w:val="false"/>
          <w:sz w:val="20"/>
        </w:rPr>
        <w:t xml:space="preserve">Note 7. </w:t>
      </w:r>
      <w:bookmarkStart w:id="473" w:name="xdx_821_zZaXREzOjyxj"/>
      <w:bookmarkEnd w:id="473"/>
      <w:r>
        <w:rPr>
          <w:rFonts w:ascii="Times New Roman;Times;Serif" w:hAnsi="Times New Roman;Times;Serif"/>
          <w:b/>
          <w:i w:val="false"/>
          <w:caps w:val="false"/>
          <w:smallCaps w:val="false"/>
          <w:sz w:val="20"/>
        </w:rPr>
        <w:t>Write-Off of Goodwill and Intangibles</w:t>
      </w:r>
    </w:p>
    <w:p>
      <w:pPr>
        <w:pStyle w:val="TextBody"/>
        <w:bidi w:val="0"/>
        <w:spacing w:before="0" w:after="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ASC 350 Intangibles – Goodwill and Other Impairment and ASC 360 – Impairment Testing: Long-Lived Assets, in connection with preparing the consolidated financial statements for the period ended December 31, 2025, management conducted a review as to whether there are conditions or circumstances that might indicate the impairment of its long-lived assets, goodwill and other indefinite-lived intangible assets.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reviewed the goodwill and intangibles acquired in the acquisitions of TinBu, LLC, Global Gaming Enterprises, Inc., Sports.com Media Ltd, and the domain names and software purchased from third parties, and software developed in-house. Each of TinBu, Global Gaming, and Lottery.com is considered a reporting unit for application of the annual review for potential impairment. The company performed a quantitative assessment for each of the reporting units described above and determined that goodwill and intangibles were not impaired for the year ended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2023, the Company performed a valuation of each of the reporting units using discounted cash flow methodologies and estimates of fair market value. Based on the results of the quantitative assessment, the Company determined that the goodwill for the TinBu and Global Gaming reporting units was impaired for the year ended December 31, 2023. Accordingly, the Company recognized goodwill impairment charges of $</w:t>
      </w:r>
      <w:bookmarkStart w:id="474" w:name="xdx_908_ecustom--GoodwillWrittenOff_pn4n"/>
      <w:bookmarkEnd w:id="474"/>
      <w:r>
        <w:rPr>
          <w:rFonts w:ascii="Times New Roman;Times;Serif" w:hAnsi="Times New Roman;Times;Serif"/>
          <w:b w:val="false"/>
          <w:i w:val="false"/>
          <w:caps w:val="false"/>
          <w:smallCaps w:val="false"/>
          <w:sz w:val="20"/>
        </w:rPr>
        <w:t>5.65 million for the TinBu reporting unit and $</w:t>
      </w:r>
      <w:bookmarkStart w:id="475" w:name="xdx_906_ecustom--GoodwillWrittenOff_pn4n"/>
      <w:bookmarkEnd w:id="475"/>
      <w:r>
        <w:rPr>
          <w:rFonts w:ascii="Times New Roman;Times;Serif" w:hAnsi="Times New Roman;Times;Serif"/>
          <w:b w:val="false"/>
          <w:i w:val="false"/>
          <w:caps w:val="false"/>
          <w:smallCaps w:val="false"/>
          <w:sz w:val="20"/>
        </w:rPr>
        <w:t>1.06 million for the Global Gaming reporting unit. The total impairment charges related to goodwill were $</w:t>
      </w:r>
      <w:bookmarkStart w:id="476" w:name="xdx_901_ecustom--GoodwillImpairmentLossA"/>
      <w:bookmarkEnd w:id="476"/>
      <w:r>
        <w:rPr>
          <w:rFonts w:ascii="Times New Roman;Times;Serif" w:hAnsi="Times New Roman;Times;Serif"/>
          <w:b w:val="false"/>
          <w:i w:val="false"/>
          <w:caps w:val="false"/>
          <w:smallCaps w:val="false"/>
          <w:sz w:val="20"/>
        </w:rPr>
        <w:t>6.71 million. In addition, it was determined that there was an impairment of certain intangible assets related to Global Gaming. For the year ended December 31, 2023, the Company recorded impairment charges of $</w:t>
      </w:r>
      <w:bookmarkStart w:id="477" w:name="xdx_909_ecustom--ImpairmentOfIntangibleA"/>
      <w:bookmarkEnd w:id="477"/>
      <w:r>
        <w:rPr>
          <w:rFonts w:ascii="Times New Roman;Times;Serif" w:hAnsi="Times New Roman;Times;Serif"/>
          <w:b w:val="false"/>
          <w:i w:val="false"/>
          <w:caps w:val="false"/>
          <w:smallCaps w:val="false"/>
          <w:sz w:val="20"/>
        </w:rPr>
        <w:t>488 thousand to trade names and trademarks and $</w:t>
      </w:r>
      <w:bookmarkStart w:id="478" w:name="xdx_900_ecustom--ImpairmentOfIntangibleA"/>
      <w:bookmarkEnd w:id="478"/>
      <w:r>
        <w:rPr>
          <w:rFonts w:ascii="Times New Roman;Times;Serif" w:hAnsi="Times New Roman;Times;Serif"/>
          <w:b w:val="false"/>
          <w:i w:val="false"/>
          <w:caps w:val="false"/>
          <w:smallCaps w:val="false"/>
          <w:sz w:val="20"/>
        </w:rPr>
        <w:t>312 thousand to technology acquired from Global Gaming. The total impairment charges to intangible assets were $</w:t>
      </w:r>
      <w:bookmarkStart w:id="479" w:name="xdx_904_ecustom--ImpairmentOfIntangibleA"/>
      <w:bookmarkEnd w:id="479"/>
      <w:r>
        <w:rPr>
          <w:rFonts w:ascii="Times New Roman;Times;Serif" w:hAnsi="Times New Roman;Times;Serif"/>
          <w:b w:val="false"/>
          <w:i w:val="false"/>
          <w:caps w:val="false"/>
          <w:smallCaps w:val="false"/>
          <w:sz w:val="20"/>
        </w:rPr>
        <w:t>800 thousand.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completion of the tax provision for 2023, a transaction which had been recorded for the year ended December 31, 2021 was reevaluated and a decision was made that it should not have been recorded and should be reversed. Specifically, at the end of 2021, a decision was made to increase goodwill related to the acquisition of Global Gaming Enterprises, Inc. due to an incorrect conclusion that “an adjustment should be made to goodwill for the recording of related deferred tax liabilities as the Company released $</w:t>
      </w:r>
      <w:bookmarkStart w:id="480" w:name="xdx_902_eus-gaap--ValuationAllowanceDefe"/>
      <w:bookmarkEnd w:id="480"/>
      <w:r>
        <w:rPr>
          <w:rFonts w:ascii="Times New Roman;Times;Serif" w:hAnsi="Times New Roman;Times;Serif"/>
          <w:b w:val="false"/>
          <w:i w:val="false"/>
          <w:caps w:val="false"/>
          <w:smallCaps w:val="false"/>
          <w:sz w:val="20"/>
        </w:rPr>
        <w:t>1.6 million of valuation allowance since the additional deferred tax liabilities represent a future source of taxable income”. This approach improperly accelerated the effects of future amortization of intangible assets related to Global Gaming, resulting in inappropriately releasing part of a valuation allowance for deferred taxes which is not in compliance with GAAP. At that time, the Company recorded an increase to goodwill for Global Gaming and an income tax benefit each in the amount of $</w:t>
      </w:r>
      <w:bookmarkStart w:id="481" w:name="xdx_908_eus-gaap--IncomeTaxExpenseBenefi"/>
      <w:bookmarkEnd w:id="481"/>
      <w:r>
        <w:rPr>
          <w:rFonts w:ascii="Times New Roman;Times;Serif" w:hAnsi="Times New Roman;Times;Serif"/>
          <w:b w:val="false"/>
          <w:i w:val="false"/>
          <w:caps w:val="false"/>
          <w:smallCaps w:val="false"/>
          <w:sz w:val="20"/>
        </w:rPr>
        <w:t>1,653,067. We reversed this transaction by reducing goodwill for Global Gaming by $</w:t>
      </w:r>
      <w:bookmarkStart w:id="482" w:name="xdx_908_eus-gaap--RetainedEarningsAccumu"/>
      <w:bookmarkEnd w:id="482"/>
      <w:r>
        <w:rPr>
          <w:rFonts w:ascii="Times New Roman;Times;Serif" w:hAnsi="Times New Roman;Times;Serif"/>
          <w:b w:val="false"/>
          <w:i w:val="false"/>
          <w:caps w:val="false"/>
          <w:smallCaps w:val="false"/>
          <w:sz w:val="20"/>
        </w:rPr>
        <w:t>1,653,067 and increased accumulated deficit to remove the income tax benefit which was incorrectly recorded for year ended December 31, 2021.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the Company performed an impairment analysis for the three months ended September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2024 and as a result of that analysis it was determined that impairment charges were necessary. Impairments of goodwill for $</w:t>
      </w:r>
      <w:bookmarkStart w:id="483" w:name="xdx_905_ecustom--GoodwillImpairmentLossA"/>
      <w:bookmarkEnd w:id="483"/>
      <w:r>
        <w:rPr>
          <w:rFonts w:ascii="Times New Roman;Times;Serif" w:hAnsi="Times New Roman;Times;Serif"/>
          <w:b w:val="false"/>
          <w:i w:val="false"/>
          <w:caps w:val="false"/>
          <w:smallCaps w:val="false"/>
          <w:sz w:val="20"/>
        </w:rPr>
        <w:t>1.6 million against Tinbu’s goodwill and $</w:t>
      </w:r>
      <w:bookmarkStart w:id="484" w:name="xdx_906_ecustom--GoodwillImpairmentLossA"/>
      <w:bookmarkEnd w:id="484"/>
      <w:r>
        <w:rPr>
          <w:rFonts w:ascii="Times New Roman;Times;Serif" w:hAnsi="Times New Roman;Times;Serif"/>
          <w:b w:val="false"/>
          <w:i w:val="false"/>
          <w:caps w:val="false"/>
          <w:smallCaps w:val="false"/>
          <w:sz w:val="20"/>
        </w:rPr>
        <w:t>1.9 million against Global Gaming’s goodwill were recorded and an impairment of $</w:t>
      </w:r>
      <w:bookmarkStart w:id="485" w:name="xdx_90D_ecustom--GoodwillImpairmentLossA"/>
      <w:bookmarkEnd w:id="485"/>
      <w:r>
        <w:rPr>
          <w:rFonts w:ascii="Times New Roman;Times;Serif" w:hAnsi="Times New Roman;Times;Serif"/>
          <w:b w:val="false"/>
          <w:i w:val="false"/>
          <w:caps w:val="false"/>
          <w:smallCaps w:val="false"/>
          <w:sz w:val="20"/>
        </w:rPr>
        <w:t>817 thousand against intangibles of Global Gaming was recorded. This consisted of impairments against Trade Names &amp; Technology in the amount of $</w:t>
      </w:r>
      <w:bookmarkStart w:id="486" w:name="xdx_90D_eus-gaap--FiniteLivedIntangibleA"/>
      <w:bookmarkEnd w:id="486"/>
      <w:r>
        <w:rPr>
          <w:rFonts w:ascii="Times New Roman;Times;Serif" w:hAnsi="Times New Roman;Times;Serif"/>
          <w:b w:val="false"/>
          <w:i w:val="false"/>
          <w:caps w:val="false"/>
          <w:smallCaps w:val="false"/>
          <w:sz w:val="20"/>
        </w:rPr>
        <w:t>547 thousand, Technology in the amount of $</w:t>
      </w:r>
      <w:bookmarkStart w:id="487" w:name="xdx_901_eus-gaap--FiniteLivedIntangibleA"/>
      <w:bookmarkEnd w:id="487"/>
      <w:r>
        <w:rPr>
          <w:rFonts w:ascii="Times New Roman;Times;Serif" w:hAnsi="Times New Roman;Times;Serif"/>
          <w:b w:val="false"/>
          <w:i w:val="false"/>
          <w:caps w:val="false"/>
          <w:smallCaps w:val="false"/>
          <w:sz w:val="20"/>
        </w:rPr>
        <w:t>119 thousand and Customer Relationships in the amount of $</w:t>
      </w:r>
      <w:bookmarkStart w:id="488" w:name="xdx_90C_eus-gaap--FiniteLivedIntangibleA"/>
      <w:bookmarkEnd w:id="488"/>
      <w:r>
        <w:rPr>
          <w:rFonts w:ascii="Times New Roman;Times;Serif" w:hAnsi="Times New Roman;Times;Serif"/>
          <w:b w:val="false"/>
          <w:i w:val="false"/>
          <w:caps w:val="false"/>
          <w:smallCaps w:val="false"/>
          <w:sz w:val="20"/>
        </w:rPr>
        <w:t>150 thousand. There were no other impairments identified or recorded for the year ended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89" w:name="xdx_80F_eus-gaap--IntangibleAssetsDisclo"/>
      <w:bookmarkEnd w:id="489"/>
      <w:r>
        <w:rPr>
          <w:rFonts w:ascii="Times New Roman;Times;Serif" w:hAnsi="Times New Roman;Times;Serif"/>
          <w:b/>
          <w:i w:val="false"/>
          <w:caps w:val="false"/>
          <w:smallCaps w:val="false"/>
          <w:sz w:val="20"/>
        </w:rPr>
        <w:t xml:space="preserve">Note 8. </w:t>
      </w:r>
      <w:bookmarkStart w:id="490" w:name="xdx_829_zjXDAdUIll2e"/>
      <w:bookmarkEnd w:id="490"/>
      <w:r>
        <w:rPr>
          <w:rFonts w:ascii="Times New Roman;Times;Serif" w:hAnsi="Times New Roman;Times;Serif"/>
          <w:b/>
          <w:i w:val="false"/>
          <w:caps w:val="false"/>
          <w:smallCaps w:val="false"/>
          <w:sz w:val="20"/>
        </w:rPr>
        <w:t>Intangible assets, net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91" w:name="xdx_89A_eus-gaap--ScheduleOfFiniteLivedI"/>
      <w:bookmarkEnd w:id="491"/>
      <w:r>
        <w:rPr>
          <w:rFonts w:ascii="Times New Roman;Times;Serif" w:hAnsi="Times New Roman;Times;Serif"/>
          <w:b w:val="false"/>
          <w:i w:val="false"/>
          <w:caps w:val="false"/>
          <w:smallCaps w:val="false"/>
          <w:sz w:val="20"/>
        </w:rPr>
        <w:t>Gross carrying values and accumulated amortization of intangible assets: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92" w:name="xdx_8BA_zOJQaQhLcGue"/>
      <w:bookmarkEnd w:id="492"/>
      <w:r>
        <w:rPr>
          <w:rFonts w:ascii="Times New Roman;Times;Serif" w:hAnsi="Times New Roman;Times;Serif"/>
          <w:b w:val="false"/>
          <w:i w:val="false"/>
          <w:caps w:val="false"/>
          <w:smallCaps w:val="false"/>
          <w:sz w:val="20"/>
        </w:rPr>
        <w:t>Schedule of Finite Lived Intangible Assets Amortization Expenses </w:t>
      </w:r>
    </w:p>
    <w:tbl>
      <w:tblPr>
        <w:tblW w:w="10325" w:type="dxa"/>
        <w:jc w:val="left"/>
        <w:tblInd w:w="0" w:type="dxa"/>
        <w:tblLayout w:type="fixed"/>
        <w:tblCellMar>
          <w:top w:w="0" w:type="dxa"/>
          <w:left w:w="0" w:type="dxa"/>
          <w:bottom w:w="0" w:type="dxa"/>
          <w:right w:w="0" w:type="dxa"/>
        </w:tblCellMar>
      </w:tblPr>
      <w:tblGrid>
        <w:gridCol w:w="1220"/>
        <w:gridCol w:w="60"/>
        <w:gridCol w:w="650"/>
        <w:gridCol w:w="60"/>
        <w:gridCol w:w="140"/>
        <w:gridCol w:w="1100"/>
        <w:gridCol w:w="60"/>
        <w:gridCol w:w="60"/>
        <w:gridCol w:w="140"/>
        <w:gridCol w:w="1175"/>
        <w:gridCol w:w="95"/>
        <w:gridCol w:w="60"/>
        <w:gridCol w:w="140"/>
        <w:gridCol w:w="1100"/>
        <w:gridCol w:w="60"/>
        <w:gridCol w:w="60"/>
        <w:gridCol w:w="140"/>
        <w:gridCol w:w="1100"/>
        <w:gridCol w:w="60"/>
        <w:gridCol w:w="60"/>
        <w:gridCol w:w="140"/>
        <w:gridCol w:w="1175"/>
        <w:gridCol w:w="95"/>
        <w:gridCol w:w="60"/>
        <w:gridCol w:w="140"/>
        <w:gridCol w:w="1100"/>
        <w:gridCol w:w="75"/>
      </w:tblGrid>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40" w:type="dxa"/>
            <w:gridSpan w:val="13"/>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60" w:type="dxa"/>
            <w:tcBorders/>
            <w:vAlign w:val="center"/>
          </w:tcPr>
          <w:p>
            <w:pPr>
              <w:pStyle w:val="TableContents"/>
              <w:bidi w:val="0"/>
              <w:spacing w:before="0" w:after="283"/>
              <w:jc w:val="left"/>
              <w:rPr/>
            </w:pPr>
            <w:r>
              <w:rPr/>
              <w:t> </w:t>
            </w:r>
          </w:p>
        </w:tc>
        <w:tc>
          <w:tcPr>
            <w:tcW w:w="4070" w:type="dxa"/>
            <w:gridSpan w:val="10"/>
            <w:tcBorders>
              <w:bottom w:val="single" w:sz="8" w:space="0" w:color="000000"/>
            </w:tcBorders>
            <w:tcMar>
              <w:bottom w:w="28" w:type="dxa"/>
            </w:tcMar>
            <w:vAlign w:val="center"/>
          </w:tcPr>
          <w:p>
            <w:pPr>
              <w:pStyle w:val="TableContents"/>
              <w:bidi w:val="0"/>
              <w:spacing w:before="0" w:after="283"/>
              <w:jc w:val="center"/>
              <w:rPr/>
            </w:pPr>
            <w:r>
              <w:rPr/>
              <w:t>December 31, 2024</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Useful</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Gross 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Gross 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tcBorders>
              <w:bottom w:val="single" w:sz="8" w:space="0" w:color="000000"/>
            </w:tcBorders>
            <w:tcMar>
              <w:bottom w:w="28" w:type="dxa"/>
            </w:tcMar>
            <w:vAlign w:val="center"/>
          </w:tcPr>
          <w:p>
            <w:pPr>
              <w:pStyle w:val="TableContents"/>
              <w:bidi w:val="0"/>
              <w:spacing w:before="0" w:after="283"/>
              <w:jc w:val="center"/>
              <w:rPr/>
            </w:pPr>
            <w:r>
              <w:rPr/>
              <w:t>Life</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Net</w:t>
            </w:r>
          </w:p>
        </w:tc>
        <w:tc>
          <w:tcPr>
            <w:tcW w:w="7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Amortizing intangible assets</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bookmarkStart w:id="493" w:name="xdx_90E_eus-gaap--FiniteLivedIntangibleA"/>
            <w:bookmarkEnd w:id="493"/>
            <w:r>
              <w:rPr/>
              <w:t>6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494" w:name="xdx_981_eus-gaap--FiniteLivedIntangibleA"/>
            <w:bookmarkEnd w:id="494"/>
          </w:p>
        </w:tc>
        <w:tc>
          <w:tcPr>
            <w:tcW w:w="1100" w:type="dxa"/>
            <w:tcBorders/>
            <w:shd w:fill="FFFFFF" w:val="clear"/>
            <w:vAlign w:val="center"/>
          </w:tcPr>
          <w:p>
            <w:pPr>
              <w:pStyle w:val="TableContents"/>
              <w:bidi w:val="0"/>
              <w:spacing w:before="0" w:after="283"/>
              <w:jc w:val="right"/>
              <w:rPr/>
            </w:pPr>
            <w:r>
              <w:rPr/>
              <w:t>1,352,200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495" w:name="xdx_988_eus-gaap--FiniteLivedIntangibleA"/>
            <w:bookmarkEnd w:id="495"/>
          </w:p>
        </w:tc>
        <w:tc>
          <w:tcPr>
            <w:tcW w:w="1175" w:type="dxa"/>
            <w:tcBorders/>
            <w:shd w:fill="FFFFFF" w:val="clear"/>
            <w:vAlign w:val="center"/>
          </w:tcPr>
          <w:p>
            <w:pPr>
              <w:pStyle w:val="TableContents"/>
              <w:bidi w:val="0"/>
              <w:spacing w:before="0" w:after="283"/>
              <w:jc w:val="right"/>
              <w:rPr/>
            </w:pPr>
            <w:r>
              <w:rPr/>
              <w:t>(1,331,700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496" w:name="xdx_98B_eus-gaap--FiniteLivedIntangibleA"/>
            <w:bookmarkEnd w:id="496"/>
          </w:p>
        </w:tc>
        <w:tc>
          <w:tcPr>
            <w:tcW w:w="1100" w:type="dxa"/>
            <w:tcBorders/>
            <w:shd w:fill="FFFFFF" w:val="clear"/>
            <w:vAlign w:val="center"/>
          </w:tcPr>
          <w:p>
            <w:pPr>
              <w:pStyle w:val="TableContents"/>
              <w:bidi w:val="0"/>
              <w:spacing w:before="0" w:after="283"/>
              <w:jc w:val="right"/>
              <w:rPr/>
            </w:pPr>
            <w:r>
              <w:rPr/>
              <w:t>20,500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497" w:name="xdx_98A_eus-gaap--FiniteLivedIntangibleA"/>
            <w:bookmarkEnd w:id="497"/>
          </w:p>
        </w:tc>
        <w:tc>
          <w:tcPr>
            <w:tcW w:w="1100" w:type="dxa"/>
            <w:tcBorders/>
            <w:shd w:fill="FFFFFF" w:val="clear"/>
            <w:vAlign w:val="center"/>
          </w:tcPr>
          <w:p>
            <w:pPr>
              <w:pStyle w:val="TableContents"/>
              <w:bidi w:val="0"/>
              <w:spacing w:before="0" w:after="283"/>
              <w:jc w:val="right"/>
              <w:rPr/>
            </w:pPr>
            <w:r>
              <w:rPr/>
              <w:t>1,352,200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98" w:name="xdx_98F_eus-gaap--FiniteLivedIntangibleA"/>
            <w:bookmarkEnd w:id="498"/>
          </w:p>
        </w:tc>
        <w:tc>
          <w:tcPr>
            <w:tcW w:w="1175" w:type="dxa"/>
            <w:tcBorders/>
            <w:shd w:fill="FFFFFF" w:val="clear"/>
            <w:vAlign w:val="center"/>
          </w:tcPr>
          <w:p>
            <w:pPr>
              <w:pStyle w:val="TableContents"/>
              <w:bidi w:val="0"/>
              <w:spacing w:before="0" w:after="283"/>
              <w:jc w:val="right"/>
              <w:rPr/>
            </w:pPr>
            <w:r>
              <w:rPr/>
              <w:t>(1,318,033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499" w:name="xdx_98D_eus-gaap--FiniteLivedIntangibleA"/>
            <w:bookmarkEnd w:id="499"/>
          </w:p>
        </w:tc>
        <w:tc>
          <w:tcPr>
            <w:tcW w:w="1100" w:type="dxa"/>
            <w:tcBorders/>
            <w:shd w:fill="FFFFFF" w:val="clear"/>
            <w:vAlign w:val="center"/>
          </w:tcPr>
          <w:p>
            <w:pPr>
              <w:pStyle w:val="TableContents"/>
              <w:bidi w:val="0"/>
              <w:spacing w:before="0" w:after="283"/>
              <w:jc w:val="right"/>
              <w:rPr/>
            </w:pPr>
            <w:r>
              <w:rPr/>
              <w:t>34,167</w:t>
            </w:r>
          </w:p>
        </w:tc>
        <w:tc>
          <w:tcPr>
            <w:tcW w:w="7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Trade name</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pPr>
            <w:bookmarkStart w:id="500" w:name="xdx_90F_eus-gaap--FiniteLivedIntangibleA"/>
            <w:bookmarkEnd w:id="500"/>
            <w:r>
              <w:rPr/>
              <w:t>6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01" w:name="xdx_98C_eus-gaap--FiniteLivedIntangibleA"/>
            <w:bookmarkEnd w:id="501"/>
          </w:p>
        </w:tc>
        <w:tc>
          <w:tcPr>
            <w:tcW w:w="1100" w:type="dxa"/>
            <w:tcBorders/>
            <w:shd w:fill="CCEEFF" w:val="clear"/>
            <w:vAlign w:val="center"/>
          </w:tcPr>
          <w:p>
            <w:pPr>
              <w:pStyle w:val="TableContents"/>
              <w:bidi w:val="0"/>
              <w:spacing w:before="0" w:after="283"/>
              <w:jc w:val="right"/>
              <w:rPr/>
            </w:pPr>
            <w:r>
              <w:rPr/>
              <w:t>2,577,000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02" w:name="xdx_981_eus-gaap--FiniteLivedIntangibleA"/>
            <w:bookmarkEnd w:id="502"/>
          </w:p>
        </w:tc>
        <w:tc>
          <w:tcPr>
            <w:tcW w:w="1175" w:type="dxa"/>
            <w:tcBorders/>
            <w:shd w:fill="CCEEFF" w:val="clear"/>
            <w:vAlign w:val="center"/>
          </w:tcPr>
          <w:p>
            <w:pPr>
              <w:pStyle w:val="TableContents"/>
              <w:bidi w:val="0"/>
              <w:spacing w:before="0" w:after="283"/>
              <w:jc w:val="right"/>
              <w:rPr/>
            </w:pPr>
            <w:r>
              <w:rPr/>
              <w:t>(2,435,000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03" w:name="xdx_989_eus-gaap--FiniteLivedIntangibleA"/>
            <w:bookmarkEnd w:id="503"/>
          </w:p>
        </w:tc>
        <w:tc>
          <w:tcPr>
            <w:tcW w:w="1100" w:type="dxa"/>
            <w:tcBorders/>
            <w:shd w:fill="CCEEFF" w:val="clear"/>
            <w:vAlign w:val="center"/>
          </w:tcPr>
          <w:p>
            <w:pPr>
              <w:pStyle w:val="TableContents"/>
              <w:bidi w:val="0"/>
              <w:spacing w:before="0" w:after="283"/>
              <w:jc w:val="right"/>
              <w:rPr/>
            </w:pPr>
            <w:r>
              <w:rPr/>
              <w:t>142,000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04" w:name="xdx_98A_eus-gaap--FiniteLivedIntangibleA"/>
            <w:bookmarkEnd w:id="504"/>
          </w:p>
        </w:tc>
        <w:tc>
          <w:tcPr>
            <w:tcW w:w="1100" w:type="dxa"/>
            <w:tcBorders/>
            <w:shd w:fill="CCEEFF" w:val="clear"/>
            <w:vAlign w:val="center"/>
          </w:tcPr>
          <w:p>
            <w:pPr>
              <w:pStyle w:val="TableContents"/>
              <w:bidi w:val="0"/>
              <w:spacing w:before="0" w:after="283"/>
              <w:jc w:val="right"/>
              <w:rPr/>
            </w:pPr>
            <w:r>
              <w:rPr/>
              <w:t>2,577,000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05" w:name="xdx_98B_eus-gaap--FiniteLivedIntangibleA"/>
            <w:bookmarkEnd w:id="505"/>
          </w:p>
        </w:tc>
        <w:tc>
          <w:tcPr>
            <w:tcW w:w="1175" w:type="dxa"/>
            <w:tcBorders/>
            <w:shd w:fill="CCEEFF" w:val="clear"/>
            <w:vAlign w:val="center"/>
          </w:tcPr>
          <w:p>
            <w:pPr>
              <w:pStyle w:val="TableContents"/>
              <w:bidi w:val="0"/>
              <w:spacing w:before="0" w:after="283"/>
              <w:jc w:val="right"/>
              <w:rPr/>
            </w:pPr>
            <w:r>
              <w:rPr/>
              <w:t>(2,314,769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06" w:name="xdx_989_eus-gaap--FiniteLivedIntangibleA"/>
            <w:bookmarkEnd w:id="506"/>
          </w:p>
        </w:tc>
        <w:tc>
          <w:tcPr>
            <w:tcW w:w="1100" w:type="dxa"/>
            <w:tcBorders/>
            <w:shd w:fill="CCEEFF" w:val="clear"/>
            <w:vAlign w:val="center"/>
          </w:tcPr>
          <w:p>
            <w:pPr>
              <w:pStyle w:val="TableContents"/>
              <w:bidi w:val="0"/>
              <w:spacing w:before="0" w:after="283"/>
              <w:jc w:val="right"/>
              <w:rPr/>
            </w:pPr>
            <w:r>
              <w:rPr/>
              <w:t>262,231</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Technology</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bookmarkStart w:id="507" w:name="xdx_90D_eus-gaap--FiniteLivedIntangibleA"/>
            <w:bookmarkEnd w:id="507"/>
            <w:r>
              <w:rPr/>
              <w:t>6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08" w:name="xdx_986_eus-gaap--FiniteLivedIntangibleA"/>
            <w:bookmarkEnd w:id="508"/>
          </w:p>
        </w:tc>
        <w:tc>
          <w:tcPr>
            <w:tcW w:w="1100" w:type="dxa"/>
            <w:tcBorders/>
            <w:shd w:fill="FFFFFF" w:val="clear"/>
            <w:vAlign w:val="center"/>
          </w:tcPr>
          <w:p>
            <w:pPr>
              <w:pStyle w:val="TableContents"/>
              <w:bidi w:val="0"/>
              <w:spacing w:before="0" w:after="283"/>
              <w:jc w:val="right"/>
              <w:rPr/>
            </w:pPr>
            <w:r>
              <w:rPr/>
              <w:t>4,754,800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09" w:name="xdx_98B_eus-gaap--FiniteLivedIntangibleA"/>
            <w:bookmarkEnd w:id="509"/>
          </w:p>
        </w:tc>
        <w:tc>
          <w:tcPr>
            <w:tcW w:w="1175" w:type="dxa"/>
            <w:tcBorders/>
            <w:shd w:fill="FFFFFF" w:val="clear"/>
            <w:vAlign w:val="center"/>
          </w:tcPr>
          <w:p>
            <w:pPr>
              <w:pStyle w:val="TableContents"/>
              <w:bidi w:val="0"/>
              <w:spacing w:before="0" w:after="283"/>
              <w:jc w:val="right"/>
              <w:rPr/>
            </w:pPr>
            <w:r>
              <w:rPr/>
              <w:t>(2,911,676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10" w:name="xdx_98A_eus-gaap--FiniteLivedIntangibleA"/>
            <w:bookmarkEnd w:id="510"/>
          </w:p>
        </w:tc>
        <w:tc>
          <w:tcPr>
            <w:tcW w:w="1100" w:type="dxa"/>
            <w:tcBorders/>
            <w:shd w:fill="FFFFFF" w:val="clear"/>
            <w:vAlign w:val="center"/>
          </w:tcPr>
          <w:p>
            <w:pPr>
              <w:pStyle w:val="TableContents"/>
              <w:bidi w:val="0"/>
              <w:spacing w:before="0" w:after="283"/>
              <w:jc w:val="right"/>
              <w:rPr/>
            </w:pPr>
            <w:r>
              <w:rPr/>
              <w:t>1,843,124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11" w:name="xdx_980_eus-gaap--FiniteLivedIntangibleA"/>
            <w:bookmarkEnd w:id="511"/>
          </w:p>
        </w:tc>
        <w:tc>
          <w:tcPr>
            <w:tcW w:w="1100" w:type="dxa"/>
            <w:tcBorders/>
            <w:shd w:fill="FFFFFF" w:val="clear"/>
            <w:vAlign w:val="center"/>
          </w:tcPr>
          <w:p>
            <w:pPr>
              <w:pStyle w:val="TableContents"/>
              <w:bidi w:val="0"/>
              <w:spacing w:before="0" w:after="283"/>
              <w:jc w:val="right"/>
              <w:rPr/>
            </w:pPr>
            <w:r>
              <w:rPr/>
              <w:t>3,254,800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12" w:name="xdx_987_eus-gaap--FiniteLivedIntangibleA"/>
            <w:bookmarkEnd w:id="512"/>
          </w:p>
        </w:tc>
        <w:tc>
          <w:tcPr>
            <w:tcW w:w="1175" w:type="dxa"/>
            <w:tcBorders/>
            <w:shd w:fill="FFFFFF" w:val="clear"/>
            <w:vAlign w:val="center"/>
          </w:tcPr>
          <w:p>
            <w:pPr>
              <w:pStyle w:val="TableContents"/>
              <w:bidi w:val="0"/>
              <w:spacing w:before="0" w:after="283"/>
              <w:jc w:val="right"/>
              <w:rPr/>
            </w:pPr>
            <w:r>
              <w:rPr/>
              <w:t>(2,737,567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13" w:name="xdx_98C_eus-gaap--FiniteLivedIntangibleA"/>
            <w:bookmarkEnd w:id="513"/>
          </w:p>
        </w:tc>
        <w:tc>
          <w:tcPr>
            <w:tcW w:w="1100" w:type="dxa"/>
            <w:tcBorders/>
            <w:shd w:fill="FFFFFF" w:val="clear"/>
            <w:vAlign w:val="center"/>
          </w:tcPr>
          <w:p>
            <w:pPr>
              <w:pStyle w:val="TableContents"/>
              <w:bidi w:val="0"/>
              <w:spacing w:before="0" w:after="283"/>
              <w:jc w:val="right"/>
              <w:rPr/>
            </w:pPr>
            <w:r>
              <w:rPr/>
              <w:t>517,233</w:t>
            </w:r>
          </w:p>
        </w:tc>
        <w:tc>
          <w:tcPr>
            <w:tcW w:w="7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Software agreements</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pPr>
            <w:bookmarkStart w:id="514" w:name="xdx_908_eus-gaap--FiniteLivedIntangibleA"/>
            <w:bookmarkEnd w:id="514"/>
            <w:r>
              <w:rPr/>
              <w:t>6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15" w:name="xdx_98A_eus-gaap--FiniteLivedIntangibleA"/>
            <w:bookmarkEnd w:id="515"/>
          </w:p>
        </w:tc>
        <w:tc>
          <w:tcPr>
            <w:tcW w:w="1100" w:type="dxa"/>
            <w:tcBorders/>
            <w:shd w:fill="CCEEFF" w:val="clear"/>
            <w:vAlign w:val="center"/>
          </w:tcPr>
          <w:p>
            <w:pPr>
              <w:pStyle w:val="TableContents"/>
              <w:bidi w:val="0"/>
              <w:spacing w:before="0" w:after="283"/>
              <w:jc w:val="right"/>
              <w:rPr/>
            </w:pPr>
            <w:r>
              <w:rPr/>
              <w:t>14,450,000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16" w:name="xdx_98A_eus-gaap--FiniteLivedIntangibleA"/>
            <w:bookmarkEnd w:id="516"/>
          </w:p>
        </w:tc>
        <w:tc>
          <w:tcPr>
            <w:tcW w:w="1175" w:type="dxa"/>
            <w:tcBorders/>
            <w:shd w:fill="CCEEFF" w:val="clear"/>
            <w:vAlign w:val="center"/>
          </w:tcPr>
          <w:p>
            <w:pPr>
              <w:pStyle w:val="TableContents"/>
              <w:bidi w:val="0"/>
              <w:spacing w:before="0" w:after="283"/>
              <w:jc w:val="right"/>
              <w:rPr/>
            </w:pPr>
            <w:r>
              <w:rPr/>
              <w:t>(14,035,000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17" w:name="xdx_980_eus-gaap--FiniteLivedIntangibleA"/>
            <w:bookmarkEnd w:id="517"/>
          </w:p>
        </w:tc>
        <w:tc>
          <w:tcPr>
            <w:tcW w:w="1100" w:type="dxa"/>
            <w:tcBorders/>
            <w:shd w:fill="CCEEFF" w:val="clear"/>
            <w:vAlign w:val="center"/>
          </w:tcPr>
          <w:p>
            <w:pPr>
              <w:pStyle w:val="TableContents"/>
              <w:bidi w:val="0"/>
              <w:spacing w:before="0" w:after="283"/>
              <w:jc w:val="right"/>
              <w:rPr/>
            </w:pPr>
            <w:r>
              <w:rPr/>
              <w:t>415,000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18" w:name="xdx_98B_eus-gaap--FiniteLivedIntangibleA"/>
            <w:bookmarkEnd w:id="518"/>
          </w:p>
        </w:tc>
        <w:tc>
          <w:tcPr>
            <w:tcW w:w="1100" w:type="dxa"/>
            <w:tcBorders/>
            <w:shd w:fill="CCEEFF" w:val="clear"/>
            <w:vAlign w:val="center"/>
          </w:tcPr>
          <w:p>
            <w:pPr>
              <w:pStyle w:val="TableContents"/>
              <w:bidi w:val="0"/>
              <w:spacing w:before="0" w:after="283"/>
              <w:jc w:val="right"/>
              <w:rPr/>
            </w:pPr>
            <w:r>
              <w:rPr/>
              <w:t>14,450,000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19" w:name="xdx_981_eus-gaap--FiniteLivedIntangibleA"/>
            <w:bookmarkEnd w:id="519"/>
          </w:p>
        </w:tc>
        <w:tc>
          <w:tcPr>
            <w:tcW w:w="1175" w:type="dxa"/>
            <w:tcBorders/>
            <w:shd w:fill="CCEEFF" w:val="clear"/>
            <w:vAlign w:val="center"/>
          </w:tcPr>
          <w:p>
            <w:pPr>
              <w:pStyle w:val="TableContents"/>
              <w:bidi w:val="0"/>
              <w:spacing w:before="0" w:after="283"/>
              <w:jc w:val="right"/>
              <w:rPr/>
            </w:pPr>
            <w:r>
              <w:rPr/>
              <w:t>(11,545,000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20" w:name="xdx_986_eus-gaap--FiniteLivedIntangibleA"/>
            <w:bookmarkEnd w:id="520"/>
          </w:p>
        </w:tc>
        <w:tc>
          <w:tcPr>
            <w:tcW w:w="1100" w:type="dxa"/>
            <w:tcBorders/>
            <w:shd w:fill="CCEEFF" w:val="clear"/>
            <w:vAlign w:val="center"/>
          </w:tcPr>
          <w:p>
            <w:pPr>
              <w:pStyle w:val="TableContents"/>
              <w:bidi w:val="0"/>
              <w:spacing w:before="0" w:after="283"/>
              <w:jc w:val="right"/>
              <w:rPr/>
            </w:pPr>
            <w:r>
              <w:rPr/>
              <w:t>2,905,000</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Gaming license</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bookmarkStart w:id="521" w:name="xdx_90B_eus-gaap--FiniteLivedIntangibleA"/>
            <w:bookmarkEnd w:id="521"/>
            <w:r>
              <w:rPr/>
              <w:t>6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22" w:name="xdx_98E_eus-gaap--FiniteLivedIntangibleA"/>
            <w:bookmarkEnd w:id="522"/>
          </w:p>
        </w:tc>
        <w:tc>
          <w:tcPr>
            <w:tcW w:w="1100" w:type="dxa"/>
            <w:tcBorders/>
            <w:shd w:fill="FFFFFF" w:val="clear"/>
            <w:vAlign w:val="center"/>
          </w:tcPr>
          <w:p>
            <w:pPr>
              <w:pStyle w:val="TableContents"/>
              <w:bidi w:val="0"/>
              <w:spacing w:before="0" w:after="283"/>
              <w:jc w:val="right"/>
              <w:rPr/>
            </w:pPr>
            <w:r>
              <w:rPr/>
              <w:t>4,020,000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23" w:name="xdx_98D_eus-gaap--FiniteLivedIntangibleA"/>
            <w:bookmarkEnd w:id="523"/>
          </w:p>
        </w:tc>
        <w:tc>
          <w:tcPr>
            <w:tcW w:w="1175" w:type="dxa"/>
            <w:tcBorders/>
            <w:shd w:fill="FFFFFF" w:val="clear"/>
            <w:vAlign w:val="center"/>
          </w:tcPr>
          <w:p>
            <w:pPr>
              <w:pStyle w:val="TableContents"/>
              <w:bidi w:val="0"/>
              <w:spacing w:before="0" w:after="283"/>
              <w:jc w:val="right"/>
              <w:rPr/>
            </w:pPr>
            <w:r>
              <w:rPr/>
              <w:t>(3,015,000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24" w:name="xdx_98A_eus-gaap--FiniteLivedIntangibleA"/>
            <w:bookmarkEnd w:id="524"/>
          </w:p>
        </w:tc>
        <w:tc>
          <w:tcPr>
            <w:tcW w:w="1100" w:type="dxa"/>
            <w:tcBorders/>
            <w:shd w:fill="FFFFFF" w:val="clear"/>
            <w:vAlign w:val="center"/>
          </w:tcPr>
          <w:p>
            <w:pPr>
              <w:pStyle w:val="TableContents"/>
              <w:bidi w:val="0"/>
              <w:spacing w:before="0" w:after="283"/>
              <w:jc w:val="right"/>
              <w:rPr/>
            </w:pPr>
            <w:r>
              <w:rPr/>
              <w:t>1,005,000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25" w:name="xdx_986_eus-gaap--FiniteLivedIntangibleA"/>
            <w:bookmarkEnd w:id="525"/>
          </w:p>
        </w:tc>
        <w:tc>
          <w:tcPr>
            <w:tcW w:w="1100" w:type="dxa"/>
            <w:tcBorders/>
            <w:shd w:fill="FFFFFF" w:val="clear"/>
            <w:vAlign w:val="center"/>
          </w:tcPr>
          <w:p>
            <w:pPr>
              <w:pStyle w:val="TableContents"/>
              <w:bidi w:val="0"/>
              <w:spacing w:before="0" w:after="283"/>
              <w:jc w:val="right"/>
              <w:rPr/>
            </w:pPr>
            <w:r>
              <w:rPr/>
              <w:t>4,020,000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26" w:name="xdx_989_eus-gaap--FiniteLivedIntangibleA"/>
            <w:bookmarkEnd w:id="526"/>
          </w:p>
        </w:tc>
        <w:tc>
          <w:tcPr>
            <w:tcW w:w="1175" w:type="dxa"/>
            <w:tcBorders/>
            <w:shd w:fill="FFFFFF" w:val="clear"/>
            <w:vAlign w:val="center"/>
          </w:tcPr>
          <w:p>
            <w:pPr>
              <w:pStyle w:val="TableContents"/>
              <w:bidi w:val="0"/>
              <w:spacing w:before="0" w:after="283"/>
              <w:jc w:val="right"/>
              <w:rPr/>
            </w:pPr>
            <w:r>
              <w:rPr/>
              <w:t>(2,345,000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27" w:name="xdx_98F_eus-gaap--FiniteLivedIntangibleA"/>
            <w:bookmarkEnd w:id="527"/>
          </w:p>
        </w:tc>
        <w:tc>
          <w:tcPr>
            <w:tcW w:w="1100" w:type="dxa"/>
            <w:tcBorders/>
            <w:shd w:fill="FFFFFF" w:val="clear"/>
            <w:vAlign w:val="center"/>
          </w:tcPr>
          <w:p>
            <w:pPr>
              <w:pStyle w:val="TableContents"/>
              <w:bidi w:val="0"/>
              <w:spacing w:before="0" w:after="283"/>
              <w:jc w:val="right"/>
              <w:rPr/>
            </w:pPr>
            <w:r>
              <w:rPr/>
              <w:t>1,675,000</w:t>
            </w:r>
          </w:p>
        </w:tc>
        <w:tc>
          <w:tcPr>
            <w:tcW w:w="7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Internally developed software</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pPr>
            <w:bookmarkStart w:id="528" w:name="xdx_907_eus-gaap--FiniteLivedIntangibleA"/>
            <w:bookmarkEnd w:id="528"/>
            <w:r>
              <w:rPr/>
              <w:t xml:space="preserve">2 - </w:t>
            </w:r>
            <w:bookmarkStart w:id="529" w:name="xdx_905_eus-gaap--FiniteLivedIntangibleA"/>
            <w:bookmarkEnd w:id="529"/>
            <w:r>
              <w:rPr/>
              <w:t>10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30" w:name="xdx_98B_eus-gaap--FiniteLivedIntangibleA"/>
            <w:bookmarkEnd w:id="530"/>
          </w:p>
        </w:tc>
        <w:tc>
          <w:tcPr>
            <w:tcW w:w="1100" w:type="dxa"/>
            <w:tcBorders/>
            <w:shd w:fill="CCEEFF" w:val="clear"/>
            <w:vAlign w:val="center"/>
          </w:tcPr>
          <w:p>
            <w:pPr>
              <w:pStyle w:val="TableContents"/>
              <w:bidi w:val="0"/>
              <w:spacing w:before="0" w:after="283"/>
              <w:jc w:val="right"/>
              <w:rPr/>
            </w:pPr>
            <w:r>
              <w:rPr/>
              <w:t>3,316,923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31" w:name="xdx_980_eus-gaap--FiniteLivedIntangibleA"/>
            <w:bookmarkEnd w:id="531"/>
          </w:p>
        </w:tc>
        <w:tc>
          <w:tcPr>
            <w:tcW w:w="1175" w:type="dxa"/>
            <w:tcBorders/>
            <w:shd w:fill="CCEEFF" w:val="clear"/>
            <w:vAlign w:val="center"/>
          </w:tcPr>
          <w:p>
            <w:pPr>
              <w:pStyle w:val="TableContents"/>
              <w:bidi w:val="0"/>
              <w:spacing w:before="0" w:after="283"/>
              <w:jc w:val="right"/>
              <w:rPr/>
            </w:pPr>
            <w:r>
              <w:rPr/>
              <w:t>(1,804,924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32" w:name="xdx_98A_eus-gaap--FiniteLivedIntangibleA"/>
            <w:bookmarkEnd w:id="532"/>
          </w:p>
        </w:tc>
        <w:tc>
          <w:tcPr>
            <w:tcW w:w="1100" w:type="dxa"/>
            <w:tcBorders/>
            <w:shd w:fill="CCEEFF" w:val="clear"/>
            <w:vAlign w:val="center"/>
          </w:tcPr>
          <w:p>
            <w:pPr>
              <w:pStyle w:val="TableContents"/>
              <w:bidi w:val="0"/>
              <w:spacing w:before="0" w:after="283"/>
              <w:jc w:val="right"/>
              <w:rPr/>
            </w:pPr>
            <w:r>
              <w:rPr/>
              <w:t>1,511,999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33" w:name="xdx_98B_eus-gaap--FiniteLivedIntangibleA"/>
            <w:bookmarkEnd w:id="533"/>
          </w:p>
        </w:tc>
        <w:tc>
          <w:tcPr>
            <w:tcW w:w="1100" w:type="dxa"/>
            <w:tcBorders/>
            <w:shd w:fill="CCEEFF" w:val="clear"/>
            <w:vAlign w:val="center"/>
          </w:tcPr>
          <w:p>
            <w:pPr>
              <w:pStyle w:val="TableContents"/>
              <w:bidi w:val="0"/>
              <w:spacing w:before="0" w:after="283"/>
              <w:jc w:val="right"/>
              <w:rPr/>
            </w:pPr>
            <w:r>
              <w:rPr/>
              <w:t>3,316,923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34" w:name="xdx_985_eus-gaap--FiniteLivedIntangibleA"/>
            <w:bookmarkEnd w:id="534"/>
          </w:p>
        </w:tc>
        <w:tc>
          <w:tcPr>
            <w:tcW w:w="1175" w:type="dxa"/>
            <w:tcBorders/>
            <w:shd w:fill="CCEEFF" w:val="clear"/>
            <w:vAlign w:val="center"/>
          </w:tcPr>
          <w:p>
            <w:pPr>
              <w:pStyle w:val="TableContents"/>
              <w:bidi w:val="0"/>
              <w:spacing w:before="0" w:after="283"/>
              <w:jc w:val="right"/>
              <w:rPr/>
            </w:pPr>
            <w:r>
              <w:rPr/>
              <w:t>(1,450,754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35" w:name="xdx_98C_eus-gaap--FiniteLivedIntangibleA"/>
            <w:bookmarkEnd w:id="535"/>
          </w:p>
        </w:tc>
        <w:tc>
          <w:tcPr>
            <w:tcW w:w="1100" w:type="dxa"/>
            <w:tcBorders/>
            <w:shd w:fill="CCEEFF" w:val="clear"/>
            <w:vAlign w:val="center"/>
          </w:tcPr>
          <w:p>
            <w:pPr>
              <w:pStyle w:val="TableContents"/>
              <w:bidi w:val="0"/>
              <w:spacing w:before="0" w:after="283"/>
              <w:jc w:val="right"/>
              <w:rPr/>
            </w:pPr>
            <w:r>
              <w:rPr/>
              <w:t>2,342,969</w:t>
            </w:r>
          </w:p>
        </w:tc>
        <w:tc>
          <w:tcPr>
            <w:tcW w:w="75"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Domain name</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bookmarkStart w:id="536" w:name="xdx_908_eus-gaap--FiniteLivedIntangibleA"/>
            <w:bookmarkEnd w:id="536"/>
            <w:r>
              <w:rPr/>
              <w:t>15 years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7" w:name="xdx_98C_eus-gaap--FiniteLivedIntangibleA"/>
            <w:bookmarkEnd w:id="537"/>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12,035,000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8" w:name="xdx_982_eus-gaap--FiniteLivedIntangibleA"/>
            <w:bookmarkEnd w:id="538"/>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(2,324,165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9" w:name="xdx_980_eus-gaap--FiniteLivedIntangibleA"/>
            <w:bookmarkEnd w:id="539"/>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9,710,835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0" w:name="xdx_982_eus-gaap--FiniteLivedIntangibleA"/>
            <w:bookmarkEnd w:id="540"/>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6,935,000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1" w:name="xdx_980_eus-gaap--FiniteLivedIntangibleA"/>
            <w:bookmarkEnd w:id="541"/>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(2,016,417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2" w:name="xdx_981_eus-gaap--FiniteLivedIntangibleA"/>
            <w:bookmarkEnd w:id="542"/>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4,832,565</w:t>
            </w:r>
          </w:p>
        </w:tc>
        <w:tc>
          <w:tcPr>
            <w:tcW w:w="7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43" w:name="xdx_984_eus-gaap--FiniteLivedIntangibleA"/>
            <w:bookmarkEnd w:id="54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42,505,923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44" w:name="xdx_985_eus-gaap--FiniteLivedIntangibleA"/>
            <w:bookmarkEnd w:id="544"/>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(27,857,465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45" w:name="xdx_98E_eus-gaap--FiniteLivedIntangibleA"/>
            <w:bookmarkEnd w:id="545"/>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14,648,458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46" w:name="xdx_985_eus-gaap--FiniteLivedIntangibleA"/>
            <w:bookmarkEnd w:id="546"/>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35,905,923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47" w:name="xdx_98B_eus-gaap--FiniteLivedIntangibleA"/>
            <w:bookmarkEnd w:id="547"/>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(23,727,540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48" w:name="xdx_98C_eus-gaap--FiniteLivedIntangibleA"/>
            <w:bookmarkEnd w:id="548"/>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12,569,165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549" w:name="xdx_8A6_zDkY52ZsYENe"/>
      <w:bookmarkEnd w:id="549"/>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with respect to intangible assets for the year ended December 31, 2025 and 2024 totaled $</w:t>
      </w:r>
      <w:bookmarkStart w:id="550" w:name="xdx_904_eus-gaap--AmortizationOfIntangib"/>
      <w:bookmarkEnd w:id="550"/>
      <w:r>
        <w:rPr>
          <w:rFonts w:ascii="Times New Roman;Times;Serif" w:hAnsi="Times New Roman;Times;Serif"/>
          <w:b w:val="false"/>
          <w:i w:val="false"/>
          <w:caps w:val="false"/>
          <w:smallCaps w:val="false"/>
          <w:sz w:val="20"/>
        </w:rPr>
        <w:t>4,234,680 and $</w:t>
      </w:r>
      <w:bookmarkStart w:id="551" w:name="xdx_907_eus-gaap--AmortizationOfIntangib"/>
      <w:bookmarkEnd w:id="551"/>
      <w:r>
        <w:rPr>
          <w:rFonts w:ascii="Times New Roman;Times;Serif" w:hAnsi="Times New Roman;Times;Serif"/>
          <w:b w:val="false"/>
          <w:i w:val="false"/>
          <w:caps w:val="false"/>
          <w:smallCaps w:val="false"/>
          <w:sz w:val="20"/>
        </w:rPr>
        <w:t>5,011,329, respectively, which is included in depreciation and amortization in the Statements of Operations. For the year ended December 31, 2025, the Company determined there was no impairment of long-lived assets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the Company determined that there was an impairment of long-lived assets of $</w:t>
      </w:r>
      <w:bookmarkStart w:id="552" w:name="xdx_90E_eus-gaap--GoodwillAndIntangibleA"/>
      <w:bookmarkEnd w:id="552"/>
      <w:r>
        <w:rPr>
          <w:rFonts w:ascii="Times New Roman;Times;Serif" w:hAnsi="Times New Roman;Times;Serif"/>
          <w:b w:val="false"/>
          <w:i w:val="false"/>
          <w:caps w:val="false"/>
          <w:smallCaps w:val="false"/>
          <w:sz w:val="20"/>
        </w:rPr>
        <w:t>412,450, which relates to a project no longer being pursued by the Company. In connection with the annual review of goodwill and intangibles for the year ended December 31, 2023, the Company determined that it was necessary to write down goodwill by $</w:t>
      </w:r>
      <w:bookmarkStart w:id="553" w:name="xdx_902_ecustom--GoodwillWrittenOff_pn4n"/>
      <w:bookmarkEnd w:id="553"/>
      <w:r>
        <w:rPr>
          <w:rFonts w:ascii="Times New Roman;Times;Serif" w:hAnsi="Times New Roman;Times;Serif"/>
          <w:b w:val="false"/>
          <w:i w:val="false"/>
          <w:caps w:val="false"/>
          <w:smallCaps w:val="false"/>
          <w:sz w:val="20"/>
        </w:rPr>
        <w:t>5.65 million for TinBu and $</w:t>
      </w:r>
      <w:bookmarkStart w:id="554" w:name="xdx_902_ecustom--GoodwillWrittenOff_pn4n"/>
      <w:bookmarkEnd w:id="554"/>
      <w:r>
        <w:rPr>
          <w:rFonts w:ascii="Times New Roman;Times;Serif" w:hAnsi="Times New Roman;Times;Serif"/>
          <w:b w:val="false"/>
          <w:i w:val="false"/>
          <w:caps w:val="false"/>
          <w:smallCaps w:val="false"/>
          <w:sz w:val="20"/>
        </w:rPr>
        <w:t>1.06 million for Global Gaming. The total impairment charges related to goodwill were $</w:t>
      </w:r>
      <w:bookmarkStart w:id="555" w:name="xdx_906_ecustom--GoodwillImpairmentLossA"/>
      <w:bookmarkEnd w:id="555"/>
      <w:r>
        <w:rPr>
          <w:rFonts w:ascii="Times New Roman;Times;Serif" w:hAnsi="Times New Roman;Times;Serif"/>
          <w:b w:val="false"/>
          <w:i w:val="false"/>
          <w:caps w:val="false"/>
          <w:smallCaps w:val="false"/>
          <w:sz w:val="20"/>
        </w:rPr>
        <w:t>6.71 million for the year ended December 31, 2023. It was also determined that there was impairment of certain intangible assets related to Global Gaming. As a result, for the year ended December 31, 2023 the Company recorded impairment charges of $</w:t>
      </w:r>
      <w:bookmarkStart w:id="556" w:name="xdx_90D_ecustom--ImpairmentOfIntangibleA"/>
      <w:bookmarkEnd w:id="556"/>
      <w:r>
        <w:rPr>
          <w:rFonts w:ascii="Times New Roman;Times;Serif" w:hAnsi="Times New Roman;Times;Serif"/>
          <w:b w:val="false"/>
          <w:i w:val="false"/>
          <w:caps w:val="false"/>
          <w:smallCaps w:val="false"/>
          <w:sz w:val="20"/>
        </w:rPr>
        <w:t>488 thousand to trade names and trademarks and $</w:t>
      </w:r>
      <w:bookmarkStart w:id="557" w:name="xdx_909_ecustom--ImpairmentOfIntangibleA"/>
      <w:bookmarkEnd w:id="557"/>
      <w:r>
        <w:rPr>
          <w:rFonts w:ascii="Times New Roman;Times;Serif" w:hAnsi="Times New Roman;Times;Serif"/>
          <w:b w:val="false"/>
          <w:i w:val="false"/>
          <w:caps w:val="false"/>
          <w:smallCaps w:val="false"/>
          <w:sz w:val="20"/>
        </w:rPr>
        <w:t>311 thousand to technology acquired from Global Gaming. The total impairment charges to intangible assets for the year ended December 31, 2023 were $</w:t>
      </w:r>
      <w:bookmarkStart w:id="558" w:name="xdx_905_ecustom--ImpairmentOfIntangibleA"/>
      <w:bookmarkEnd w:id="558"/>
      <w:r>
        <w:rPr>
          <w:rFonts w:ascii="Times New Roman;Times;Serif" w:hAnsi="Times New Roman;Times;Serif"/>
          <w:b w:val="false"/>
          <w:i w:val="false"/>
          <w:caps w:val="false"/>
          <w:smallCaps w:val="false"/>
          <w:sz w:val="20"/>
        </w:rPr>
        <w:t>799 thousand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the company performed an impairment analysis for the three months ended September 30th, 2024 and determined that impairment charges were necessary. Impairments of goodwill for $</w:t>
      </w:r>
      <w:bookmarkStart w:id="559" w:name="xdx_901_ecustom--GoodwillImpairmentLossA"/>
      <w:bookmarkEnd w:id="559"/>
      <w:r>
        <w:rPr>
          <w:rFonts w:ascii="Times New Roman;Times;Serif" w:hAnsi="Times New Roman;Times;Serif"/>
          <w:b w:val="false"/>
          <w:i w:val="false"/>
          <w:caps w:val="false"/>
          <w:smallCaps w:val="false"/>
          <w:sz w:val="20"/>
        </w:rPr>
        <w:t>1.6 million against Tinbu’s goodwill and $</w:t>
      </w:r>
      <w:bookmarkStart w:id="560" w:name="xdx_906_ecustom--GoodwillImpairmentLossA"/>
      <w:bookmarkEnd w:id="560"/>
      <w:r>
        <w:rPr>
          <w:rFonts w:ascii="Times New Roman;Times;Serif" w:hAnsi="Times New Roman;Times;Serif"/>
          <w:b w:val="false"/>
          <w:i w:val="false"/>
          <w:caps w:val="false"/>
          <w:smallCaps w:val="false"/>
          <w:sz w:val="20"/>
        </w:rPr>
        <w:t>1.9 million against Global Gaming’s goodwill were recorded and $</w:t>
      </w:r>
      <w:bookmarkStart w:id="561" w:name="xdx_901_ecustom--GoodwillImpairmentLossA"/>
      <w:bookmarkEnd w:id="561"/>
      <w:r>
        <w:rPr>
          <w:rFonts w:ascii="Times New Roman;Times;Serif" w:hAnsi="Times New Roman;Times;Serif"/>
          <w:b w:val="false"/>
          <w:i w:val="false"/>
          <w:caps w:val="false"/>
          <w:smallCaps w:val="false"/>
          <w:sz w:val="20"/>
        </w:rPr>
        <w:t>817 thousand against intangibles of Global Gaming was recorded. This consisted of impairments against Trade Names &amp; Technology in the amount of $</w:t>
      </w:r>
      <w:bookmarkStart w:id="562" w:name="xdx_907_eus-gaap--FiniteLivedIntangibleA"/>
      <w:bookmarkEnd w:id="562"/>
      <w:r>
        <w:rPr>
          <w:rFonts w:ascii="Times New Roman;Times;Serif" w:hAnsi="Times New Roman;Times;Serif"/>
          <w:b w:val="false"/>
          <w:i w:val="false"/>
          <w:caps w:val="false"/>
          <w:smallCaps w:val="false"/>
          <w:sz w:val="20"/>
        </w:rPr>
        <w:t>547 thousand, Technology in the amount of $</w:t>
      </w:r>
      <w:bookmarkStart w:id="563" w:name="xdx_900_eus-gaap--FiniteLivedIntangibleA"/>
      <w:bookmarkEnd w:id="563"/>
      <w:r>
        <w:rPr>
          <w:rFonts w:ascii="Times New Roman;Times;Serif" w:hAnsi="Times New Roman;Times;Serif"/>
          <w:b w:val="false"/>
          <w:i w:val="false"/>
          <w:caps w:val="false"/>
          <w:smallCaps w:val="false"/>
          <w:sz w:val="20"/>
        </w:rPr>
        <w:t>119 thousand, and Customer Relationships in the amount of $</w:t>
      </w:r>
      <w:bookmarkStart w:id="564" w:name="xdx_905_eus-gaap--FiniteLivedIntangibleA"/>
      <w:bookmarkEnd w:id="564"/>
      <w:r>
        <w:rPr>
          <w:rFonts w:ascii="Times New Roman;Times;Serif" w:hAnsi="Times New Roman;Times;Serif"/>
          <w:b w:val="false"/>
          <w:i w:val="false"/>
          <w:caps w:val="false"/>
          <w:smallCaps w:val="false"/>
          <w:sz w:val="20"/>
        </w:rPr>
        <w:t>150 thousand. There were no other impairments identified or recorded for the year ended December 31, 2024 or for the year ended December 31, 2025.</w:t>
      </w:r>
    </w:p>
    <w:p>
      <w:pPr>
        <w:pStyle w:val="TextBody"/>
        <w:bidi w:val="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565" w:name="xdx_89B_eus-gaap--ScheduleofFiniteLivedI"/>
      <w:bookmarkEnd w:id="565"/>
      <w:r>
        <w:rPr>
          <w:rFonts w:ascii="Times New Roman;Times;Serif" w:hAnsi="Times New Roman;Times;Serif"/>
          <w:b w:val="false"/>
          <w:i w:val="false"/>
          <w:caps w:val="false"/>
          <w:smallCaps w:val="false"/>
          <w:sz w:val="20"/>
        </w:rPr>
        <w:t>Estimated amortization expense for years of useful life remaining is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bookmarkStart w:id="566" w:name="xdx_8B0_zZBTTZENMUbl"/>
      <w:bookmarkEnd w:id="566"/>
      <w:r>
        <w:rPr/>
        <w:t>Schedule of Estimated Amortization Expense</w:t>
      </w:r>
    </w:p>
    <w:tbl>
      <w:tblPr>
        <w:tblW w:w="4215" w:type="dxa"/>
        <w:jc w:val="left"/>
        <w:tblInd w:w="0" w:type="dxa"/>
        <w:tblLayout w:type="fixed"/>
        <w:tblCellMar>
          <w:top w:w="0" w:type="dxa"/>
          <w:left w:w="0" w:type="dxa"/>
          <w:bottom w:w="28" w:type="dxa"/>
          <w:right w:w="0" w:type="dxa"/>
        </w:tblCellMar>
      </w:tblPr>
      <w:tblGrid>
        <w:gridCol w:w="2840"/>
        <w:gridCol w:w="60"/>
        <w:gridCol w:w="140"/>
        <w:gridCol w:w="1100"/>
        <w:gridCol w:w="75"/>
      </w:tblGrid>
      <w:tr>
        <w:trPr/>
        <w:tc>
          <w:tcPr>
            <w:tcW w:w="2840" w:type="dxa"/>
            <w:tcBorders>
              <w:bottom w:val="single" w:sz="8" w:space="0" w:color="000000"/>
            </w:tcBorders>
            <w:vAlign w:val="center"/>
          </w:tcPr>
          <w:p>
            <w:pPr>
              <w:pStyle w:val="TableContents"/>
              <w:bidi w:val="0"/>
              <w:spacing w:before="0" w:after="283"/>
              <w:jc w:val="left"/>
              <w:rPr>
                <w:b/>
              </w:rPr>
            </w:pPr>
            <w:r>
              <w:rPr>
                <w:b/>
              </w:rPr>
              <w:t>Years ending December 31,</w:t>
            </w:r>
          </w:p>
        </w:tc>
        <w:tc>
          <w:tcPr>
            <w:tcW w:w="60" w:type="dxa"/>
            <w:tcBorders/>
            <w:tcMar>
              <w:bottom w:w="0" w:type="dxa"/>
            </w:tcMar>
            <w:vAlign w:val="center"/>
          </w:tcPr>
          <w:p>
            <w:pPr>
              <w:pStyle w:val="TableContents"/>
              <w:bidi w:val="0"/>
              <w:spacing w:before="0" w:after="283"/>
              <w:jc w:val="left"/>
              <w:rPr/>
            </w:pPr>
            <w:r>
              <w:rPr/>
              <w:t> </w:t>
            </w:r>
            <w:bookmarkStart w:id="567" w:name="xdx_497_20251231_zzcgY5Rmjzcf"/>
            <w:bookmarkEnd w:id="567"/>
          </w:p>
        </w:tc>
        <w:tc>
          <w:tcPr>
            <w:tcW w:w="1240" w:type="dxa"/>
            <w:gridSpan w:val="2"/>
            <w:tcBorders>
              <w:bottom w:val="single" w:sz="8"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bookmarkStart w:id="568" w:name="xdx_409_eus-gaap--FiniteLivedIntangibleA"/>
            <w:bookmarkEnd w:id="568"/>
          </w:p>
        </w:tc>
      </w:tr>
      <w:tr>
        <w:trPr/>
        <w:tc>
          <w:tcPr>
            <w:tcW w:w="284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2,197,764</w:t>
            </w:r>
          </w:p>
        </w:tc>
        <w:tc>
          <w:tcPr>
            <w:tcW w:w="75" w:type="dxa"/>
            <w:tcBorders/>
            <w:shd w:fill="CCEEFF" w:val="clear"/>
            <w:tcMar>
              <w:bottom w:w="0" w:type="dxa"/>
            </w:tcMar>
            <w:vAlign w:val="center"/>
          </w:tcPr>
          <w:p>
            <w:pPr>
              <w:pStyle w:val="TableContents"/>
              <w:bidi w:val="0"/>
              <w:spacing w:before="0" w:after="283"/>
              <w:jc w:val="left"/>
              <w:rPr/>
            </w:pPr>
            <w:r>
              <w:rPr/>
              <w:t> </w:t>
            </w:r>
            <w:bookmarkStart w:id="569" w:name="xdx_407_eus-gaap--FiniteLivedIntangibleA"/>
            <w:bookmarkEnd w:id="569"/>
          </w:p>
        </w:tc>
      </w:tr>
      <w:tr>
        <w:trPr/>
        <w:tc>
          <w:tcPr>
            <w:tcW w:w="284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1,154,181</w:t>
            </w:r>
          </w:p>
        </w:tc>
        <w:tc>
          <w:tcPr>
            <w:tcW w:w="75" w:type="dxa"/>
            <w:tcBorders/>
            <w:shd w:fill="FFFFFF" w:val="clear"/>
            <w:tcMar>
              <w:bottom w:w="0" w:type="dxa"/>
            </w:tcMar>
            <w:vAlign w:val="center"/>
          </w:tcPr>
          <w:p>
            <w:pPr>
              <w:pStyle w:val="TableContents"/>
              <w:bidi w:val="0"/>
              <w:spacing w:before="0" w:after="283"/>
              <w:jc w:val="left"/>
              <w:rPr/>
            </w:pPr>
            <w:r>
              <w:rPr/>
              <w:t> </w:t>
            </w:r>
            <w:bookmarkStart w:id="570" w:name="xdx_40B_eus-gaap--FiniteLivedIntangibleA"/>
            <w:bookmarkEnd w:id="570"/>
          </w:p>
        </w:tc>
      </w:tr>
      <w:tr>
        <w:trPr/>
        <w:tc>
          <w:tcPr>
            <w:tcW w:w="284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678,075</w:t>
            </w:r>
          </w:p>
        </w:tc>
        <w:tc>
          <w:tcPr>
            <w:tcW w:w="75" w:type="dxa"/>
            <w:tcBorders/>
            <w:shd w:fill="CCEEFF" w:val="clear"/>
            <w:tcMar>
              <w:bottom w:w="0" w:type="dxa"/>
            </w:tcMar>
            <w:vAlign w:val="center"/>
          </w:tcPr>
          <w:p>
            <w:pPr>
              <w:pStyle w:val="TableContents"/>
              <w:bidi w:val="0"/>
              <w:spacing w:before="0" w:after="283"/>
              <w:jc w:val="left"/>
              <w:rPr/>
            </w:pPr>
            <w:r>
              <w:rPr/>
              <w:t> </w:t>
            </w:r>
            <w:bookmarkStart w:id="571" w:name="xdx_400_eus-gaap--FiniteLivedIntangibleA"/>
            <w:bookmarkEnd w:id="571"/>
          </w:p>
        </w:tc>
      </w:tr>
      <w:tr>
        <w:trPr/>
        <w:tc>
          <w:tcPr>
            <w:tcW w:w="2840"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643,941</w:t>
            </w:r>
          </w:p>
        </w:tc>
        <w:tc>
          <w:tcPr>
            <w:tcW w:w="75" w:type="dxa"/>
            <w:tcBorders/>
            <w:shd w:fill="FFFFFF" w:val="clear"/>
            <w:tcMar>
              <w:bottom w:w="0" w:type="dxa"/>
            </w:tcMar>
            <w:vAlign w:val="center"/>
          </w:tcPr>
          <w:p>
            <w:pPr>
              <w:pStyle w:val="TableContents"/>
              <w:bidi w:val="0"/>
              <w:spacing w:before="0" w:after="283"/>
              <w:jc w:val="left"/>
              <w:rPr/>
            </w:pPr>
            <w:r>
              <w:rPr/>
              <w:t> </w:t>
            </w:r>
            <w:bookmarkStart w:id="572" w:name="xdx_403_eus-gaap--FiniteLivedIntangibleA"/>
            <w:bookmarkEnd w:id="572"/>
          </w:p>
        </w:tc>
      </w:tr>
      <w:tr>
        <w:trPr/>
        <w:tc>
          <w:tcPr>
            <w:tcW w:w="2840"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598,539</w:t>
            </w:r>
          </w:p>
        </w:tc>
        <w:tc>
          <w:tcPr>
            <w:tcW w:w="75" w:type="dxa"/>
            <w:tcBorders/>
            <w:shd w:fill="CCEEFF" w:val="clear"/>
            <w:tcMar>
              <w:bottom w:w="0" w:type="dxa"/>
            </w:tcMar>
            <w:vAlign w:val="center"/>
          </w:tcPr>
          <w:p>
            <w:pPr>
              <w:pStyle w:val="TableContents"/>
              <w:bidi w:val="0"/>
              <w:spacing w:before="0" w:after="283"/>
              <w:jc w:val="left"/>
              <w:rPr/>
            </w:pPr>
            <w:r>
              <w:rPr/>
              <w:t> </w:t>
            </w:r>
            <w:bookmarkStart w:id="573" w:name="xdx_40F_eus-gaap--FiniteLivedIntangibleA"/>
            <w:bookmarkEnd w:id="573"/>
          </w:p>
        </w:tc>
      </w:tr>
      <w:tr>
        <w:trPr/>
        <w:tc>
          <w:tcPr>
            <w:tcW w:w="2840"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9,375,958</w:t>
            </w:r>
          </w:p>
        </w:tc>
        <w:tc>
          <w:tcPr>
            <w:tcW w:w="75" w:type="dxa"/>
            <w:tcBorders/>
            <w:shd w:fill="FFFFFF" w:val="clear"/>
            <w:tcMar>
              <w:bottom w:w="0" w:type="dxa"/>
            </w:tcMar>
            <w:vAlign w:val="center"/>
          </w:tcPr>
          <w:p>
            <w:pPr>
              <w:pStyle w:val="TableContents"/>
              <w:bidi w:val="0"/>
              <w:spacing w:before="0" w:after="283"/>
              <w:jc w:val="left"/>
              <w:rPr/>
            </w:pPr>
            <w:r>
              <w:rPr/>
              <w:t> </w:t>
            </w:r>
            <w:bookmarkStart w:id="574" w:name="xdx_402_eus-gaap--FiniteLivedIntangibleA"/>
            <w:bookmarkEnd w:id="574"/>
          </w:p>
        </w:tc>
      </w:tr>
      <w:tr>
        <w:trPr/>
        <w:tc>
          <w:tcPr>
            <w:tcW w:w="28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1100" w:type="dxa"/>
            <w:tcBorders>
              <w:bottom w:val="double" w:sz="6" w:space="0" w:color="000000"/>
            </w:tcBorders>
            <w:shd w:fill="CCEEFF" w:val="clear"/>
            <w:vAlign w:val="center"/>
          </w:tcPr>
          <w:p>
            <w:pPr>
              <w:pStyle w:val="TableContents"/>
              <w:bidi w:val="0"/>
              <w:spacing w:before="0" w:after="283"/>
              <w:jc w:val="right"/>
              <w:rPr/>
            </w:pPr>
            <w:r>
              <w:rPr/>
              <w:t>14,648,458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575" w:name="xdx_8A2_zQ0fQLI2TKAf"/>
      <w:bookmarkEnd w:id="57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software development costs of $</w:t>
      </w:r>
      <w:bookmarkStart w:id="576" w:name="xdx_909_eus-gaap--FiniteLivedIntangibleA"/>
      <w:bookmarkStart w:id="577" w:name="xdx_903_eus-gaap--FiniteLivedIntangibleA"/>
      <w:bookmarkEnd w:id="576"/>
      <w:bookmarkEnd w:id="577"/>
      <w:r>
        <w:rPr>
          <w:rFonts w:ascii="Times New Roman;Times;Serif" w:hAnsi="Times New Roman;Times;Serif"/>
          <w:b w:val="false"/>
          <w:i w:val="false"/>
          <w:caps w:val="false"/>
          <w:smallCaps w:val="false"/>
          <w:sz w:val="20"/>
        </w:rPr>
        <w:t>476,850 related to projects not placed in service as of both December 31, 2025 and December 31, 2024, which is included in intangible assets in the Company’s consolidated balance sheets. Amortization will be calculated using the straight-line method over the appropriate estimated useful life when the assets are put into service.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578" w:name="xdx_80D_eus-gaap--DebtDisclosureTextBloc"/>
      <w:bookmarkEnd w:id="578"/>
      <w:r>
        <w:rPr>
          <w:rFonts w:ascii="Times New Roman;Times;Serif" w:hAnsi="Times New Roman;Times;Serif"/>
          <w:b/>
          <w:i w:val="false"/>
          <w:caps w:val="false"/>
          <w:smallCaps w:val="false"/>
          <w:sz w:val="20"/>
        </w:rPr>
        <w:t xml:space="preserve">Note 9. </w:t>
      </w:r>
      <w:bookmarkStart w:id="579" w:name="xdx_82E_zxUmkVRXPgTl"/>
      <w:bookmarkEnd w:id="579"/>
      <w:r>
        <w:rPr>
          <w:rFonts w:ascii="Times New Roman;Times;Serif" w:hAnsi="Times New Roman;Times;Serif"/>
          <w:b/>
          <w:i w:val="false"/>
          <w:caps w:val="false"/>
          <w:smallCaps w:val="false"/>
          <w:sz w:val="20"/>
        </w:rPr>
        <w:t>Notes Payable and Convertible Debt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Secured Convertible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Lottery.com domain purchase, the Company issued a secured convertible promissory note (“Secured Convertible Note”) with a fair value of $</w:t>
      </w:r>
      <w:bookmarkStart w:id="580" w:name="xdx_908_eus-gaap--DebtInstrumentFaceAmou"/>
      <w:bookmarkEnd w:id="580"/>
      <w:r>
        <w:rPr>
          <w:rFonts w:ascii="Times New Roman;Times;Serif" w:hAnsi="Times New Roman;Times;Serif"/>
          <w:b w:val="false"/>
          <w:i w:val="false"/>
          <w:caps w:val="false"/>
          <w:smallCaps w:val="false"/>
          <w:sz w:val="20"/>
        </w:rPr>
        <w:t xml:space="preserve">935,000 that matured in March 2021. The Company used the fair value of the Secured Convertible Note to value the debt instrument issued. In March 2021, the Secured Convertible Note was fully converted into </w:t>
      </w:r>
      <w:bookmarkStart w:id="581" w:name="xdx_909_eus-gaap--DebtConversionConverte"/>
      <w:bookmarkEnd w:id="581"/>
      <w:r>
        <w:rPr>
          <w:rFonts w:ascii="Times New Roman;Times;Serif" w:hAnsi="Times New Roman;Times;Serif"/>
          <w:b w:val="false"/>
          <w:i w:val="false"/>
          <w:caps w:val="false"/>
          <w:smallCaps w:val="false"/>
          <w:sz w:val="20"/>
        </w:rPr>
        <w:t>6,991 shares of the Company’s common stock. (see Note 11).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Series A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August to October 2017, the Company entered into seven Convertible Promissory Note Agreements with unaffiliated investors for an aggregate amount of $</w:t>
      </w:r>
      <w:bookmarkStart w:id="582" w:name="xdx_907_eus-gaap--DebtInstrumentFaceAmou"/>
      <w:bookmarkEnd w:id="582"/>
      <w:r>
        <w:rPr>
          <w:rFonts w:ascii="Times New Roman;Times;Serif" w:hAnsi="Times New Roman;Times;Serif"/>
          <w:b w:val="false"/>
          <w:i w:val="false"/>
          <w:caps w:val="false"/>
          <w:smallCaps w:val="false"/>
          <w:sz w:val="20"/>
        </w:rPr>
        <w:t xml:space="preserve">821,500. The notes bear interest at </w:t>
      </w:r>
      <w:bookmarkStart w:id="583" w:name="xdx_904_eus-gaap--DebtInstrumentInterest"/>
      <w:bookmarkEnd w:id="583"/>
      <w:r>
        <w:rPr>
          <w:rFonts w:ascii="Times New Roman;Times;Serif" w:hAnsi="Times New Roman;Times;Serif"/>
          <w:b w:val="false"/>
          <w:i w:val="false"/>
          <w:caps w:val="false"/>
          <w:smallCaps w:val="false"/>
          <w:sz w:val="20"/>
        </w:rPr>
        <w:t xml:space="preserve">10% per year, are unsecured, and were due and payable on June 30, 2019. The parties verbally agreed to extend the maturity of the notes to </w:t>
      </w:r>
      <w:bookmarkStart w:id="584" w:name="xdx_90D_eus-gaap--DebtInstrumentMaturity"/>
      <w:bookmarkEnd w:id="584"/>
      <w:r>
        <w:rPr>
          <w:rFonts w:ascii="Times New Roman;Times;Serif" w:hAnsi="Times New Roman;Times;Serif"/>
          <w:b w:val="false"/>
          <w:i w:val="false"/>
          <w:caps w:val="false"/>
          <w:smallCaps w:val="false"/>
          <w:sz w:val="20"/>
        </w:rPr>
        <w:t>December 31, 2021. As of both December 31, 2023 and December 31, 2022, the balance due on these notes was $</w:t>
      </w:r>
      <w:bookmarkStart w:id="585" w:name="xdx_905_eus-gaap--NotesPayable_iI_c20221"/>
      <w:bookmarkStart w:id="586" w:name="xdx_90A_eus-gaap--NotesPayable_iI_c20231"/>
      <w:bookmarkEnd w:id="585"/>
      <w:bookmarkEnd w:id="586"/>
      <w:r>
        <w:rPr>
          <w:rFonts w:ascii="Times New Roman;Times;Serif" w:hAnsi="Times New Roman;Times;Serif"/>
          <w:b w:val="false"/>
          <w:i w:val="false"/>
          <w:caps w:val="false"/>
          <w:smallCaps w:val="false"/>
          <w:sz w:val="20"/>
        </w:rPr>
        <w:t>771,500. The Company could not prepay the loan without consent from the noteholders. As of December 31, 2021, there were no Qualified Financing events, that triggered conversion, this included the TDAC combination. As of both December 31, 2025, and December 31, 2024 the remaining outstanding balance of $</w:t>
      </w:r>
      <w:bookmarkStart w:id="587" w:name="xdx_903_eus-gaap--DebtInstrumentCarrying"/>
      <w:bookmarkStart w:id="588" w:name="xdx_906_eus-gaap--DebtInstrumentCarrying"/>
      <w:bookmarkEnd w:id="587"/>
      <w:bookmarkEnd w:id="588"/>
      <w:r>
        <w:rPr>
          <w:rFonts w:ascii="Times New Roman;Times;Serif" w:hAnsi="Times New Roman;Times;Serif"/>
          <w:b w:val="false"/>
          <w:i w:val="false"/>
          <w:caps w:val="false"/>
          <w:smallCaps w:val="false"/>
          <w:sz w:val="20"/>
        </w:rPr>
        <w:t>771,500 relates to notes that are no longer convertible which have been reclassified to Notes Payable as per the agreement. Accrued interest on the Series A notes payable was $</w:t>
      </w:r>
      <w:bookmarkStart w:id="589" w:name="xdx_90E_eus-gaap--InterestPayableCurrent"/>
      <w:bookmarkStart w:id="590" w:name="xdx_90A_eus-gaap--InterestPayableCurrent"/>
      <w:bookmarkEnd w:id="589"/>
      <w:bookmarkEnd w:id="590"/>
      <w:r>
        <w:rPr>
          <w:rFonts w:ascii="Times New Roman;Times;Serif" w:hAnsi="Times New Roman;Times;Serif"/>
          <w:b w:val="false"/>
          <w:i w:val="false"/>
          <w:caps w:val="false"/>
          <w:smallCaps w:val="false"/>
          <w:sz w:val="20"/>
        </w:rPr>
        <w:t>318,909 on December 31, 2025 and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Series B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November 2018 to December 2020, the Company entered into multiple Convertible Promissory Note agreements with unaffiliated investors for an aggregate amount of $</w:t>
      </w:r>
      <w:bookmarkStart w:id="591" w:name="xdx_90C_eus-gaap--DebtInstrumentFaceAmou"/>
      <w:bookmarkEnd w:id="591"/>
      <w:r>
        <w:rPr>
          <w:rFonts w:ascii="Times New Roman;Times;Serif" w:hAnsi="Times New Roman;Times;Serif"/>
          <w:b w:val="false"/>
          <w:i w:val="false"/>
          <w:caps w:val="false"/>
          <w:smallCaps w:val="false"/>
          <w:sz w:val="20"/>
        </w:rPr>
        <w:t xml:space="preserve">8,802,828. The notes bear interest at </w:t>
      </w:r>
      <w:bookmarkStart w:id="592" w:name="xdx_90A_eus-gaap--DebtInstrumentInterest"/>
      <w:bookmarkEnd w:id="592"/>
      <w:r>
        <w:rPr>
          <w:rFonts w:ascii="Times New Roman;Times;Serif" w:hAnsi="Times New Roman;Times;Serif"/>
          <w:b w:val="false"/>
          <w:i w:val="false"/>
          <w:caps w:val="false"/>
          <w:smallCaps w:val="false"/>
          <w:sz w:val="20"/>
        </w:rPr>
        <w:t xml:space="preserve">8% per year, are unsecured, and were due and payable on dates ranging from December 2020 to December 2021. For those notes maturing on or before December 31, 2020, the parties entered into amendments in February 2021 to extend the maturity of the notes to </w:t>
      </w:r>
      <w:bookmarkStart w:id="593" w:name="xdx_904_eus-gaap--DebtInstrumentMaturity"/>
      <w:bookmarkEnd w:id="593"/>
      <w:r>
        <w:rPr>
          <w:rFonts w:ascii="Times New Roman;Times;Serif" w:hAnsi="Times New Roman;Times;Serif"/>
          <w:b w:val="false"/>
          <w:i w:val="false"/>
          <w:caps w:val="false"/>
          <w:smallCaps w:val="false"/>
          <w:sz w:val="20"/>
        </w:rPr>
        <w:t>December 21, 2021. The Company cannot prepay the loans without consent from the noteholders.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2021, the Company entered into multiple Convertible Promissory Note agreements with unaffiliated investors for an aggregate amount of $</w:t>
      </w:r>
      <w:bookmarkStart w:id="594" w:name="xdx_90E_eus-gaap--DebtInstrumentFaceAmou"/>
      <w:bookmarkEnd w:id="594"/>
      <w:r>
        <w:rPr>
          <w:rFonts w:ascii="Times New Roman;Times;Serif" w:hAnsi="Times New Roman;Times;Serif"/>
          <w:b w:val="false"/>
          <w:i w:val="false"/>
          <w:caps w:val="false"/>
          <w:smallCaps w:val="false"/>
          <w:sz w:val="20"/>
        </w:rPr>
        <w:t xml:space="preserve">38,893,733. The notes bear interest at </w:t>
      </w:r>
      <w:bookmarkStart w:id="595" w:name="xdx_90E_eus-gaap--DebtInstrumentInterest"/>
      <w:bookmarkEnd w:id="595"/>
      <w:r>
        <w:rPr>
          <w:rFonts w:ascii="Times New Roman;Times;Serif" w:hAnsi="Times New Roman;Times;Serif"/>
          <w:b w:val="false"/>
          <w:i w:val="false"/>
          <w:caps w:val="false"/>
          <w:smallCaps w:val="false"/>
          <w:sz w:val="20"/>
        </w:rPr>
        <w:t>8% per year, are unsecured, and are due and payable on dates ranging from December 2021 to December 2022. The Company cannot prepay these loans without consent from the noteholders. As of December 31, 2021, the Series B Convertible Notes had a balance of $</w:t>
      </w:r>
      <w:bookmarkStart w:id="596" w:name="xdx_908_eus-gaap--NotesPayable_iI_c20211"/>
      <w:bookmarkEnd w:id="596"/>
      <w:r>
        <w:rPr>
          <w:rFonts w:ascii="Times New Roman;Times;Serif" w:hAnsi="Times New Roman;Times;Serif"/>
          <w:b w:val="false"/>
          <w:i w:val="false"/>
          <w:caps w:val="false"/>
          <w:smallCaps w:val="false"/>
          <w:sz w:val="20"/>
        </w:rPr>
        <w:t>0.</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2021, the Company entered into amendments with six of the Series B promissory noteholders to increase the principal value of the notes. The additional principal associated with the amendments totaled $</w:t>
      </w:r>
      <w:bookmarkStart w:id="597" w:name="xdx_90A_eus-gaap--DebtInstrumentFaceAmou"/>
      <w:bookmarkEnd w:id="597"/>
      <w:r>
        <w:rPr>
          <w:rFonts w:ascii="Times New Roman;Times;Serif" w:hAnsi="Times New Roman;Times;Serif"/>
          <w:b w:val="false"/>
          <w:i w:val="false"/>
          <w:caps w:val="false"/>
          <w:smallCaps w:val="false"/>
          <w:sz w:val="20"/>
        </w:rPr>
        <w:t>3,552,114. The amendments were accounted for as a debt extinguishment, whereby the old debt was derecognized and the new debt was recorded at fair value. The Company recorded loss on extinguishment of $</w:t>
      </w:r>
      <w:bookmarkStart w:id="598" w:name="xdx_90A_eus-gaap--GainsLossesOnExtinguis"/>
      <w:bookmarkEnd w:id="598"/>
      <w:r>
        <w:rPr>
          <w:rFonts w:ascii="Times New Roman;Times;Serif" w:hAnsi="Times New Roman;Times;Serif"/>
          <w:b w:val="false"/>
          <w:i w:val="false"/>
          <w:caps w:val="false"/>
          <w:smallCaps w:val="false"/>
          <w:sz w:val="20"/>
        </w:rPr>
        <w:t>71,812 as a result of the amendment which was mapped in “Other expenses” on the consolidated statements of operations and comprehensive loss.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29, 2021, all except $</w:t>
      </w:r>
      <w:bookmarkStart w:id="599" w:name="xdx_909_eus-gaap--DebtConversionOriginal"/>
      <w:bookmarkEnd w:id="599"/>
      <w:r>
        <w:rPr>
          <w:rFonts w:ascii="Times New Roman;Times;Serif" w:hAnsi="Times New Roman;Times;Serif"/>
          <w:b w:val="false"/>
          <w:i w:val="false"/>
          <w:caps w:val="false"/>
          <w:smallCaps w:val="false"/>
          <w:sz w:val="20"/>
        </w:rPr>
        <w:t xml:space="preserve">185,095 of the series B convertible notes were converted into </w:t>
      </w:r>
      <w:bookmarkStart w:id="600" w:name="xdx_90E_eus-gaap--DebtConversionConverte"/>
      <w:bookmarkEnd w:id="600"/>
      <w:r>
        <w:rPr>
          <w:rFonts w:ascii="Times New Roman;Times;Serif" w:hAnsi="Times New Roman;Times;Serif"/>
          <w:b w:val="false"/>
          <w:i w:val="false"/>
          <w:caps w:val="false"/>
          <w:smallCaps w:val="false"/>
          <w:sz w:val="20"/>
        </w:rPr>
        <w:t xml:space="preserve">48,823 shares of SEGG Media common stock after accounting for the </w:t>
      </w:r>
      <w:bookmarkStart w:id="601" w:name="xdx_90B_eus-gaap--StockholdersEquityReve"/>
      <w:bookmarkEnd w:id="601"/>
      <w:r>
        <w:rPr>
          <w:rFonts w:ascii="Times New Roman;Times;Serif" w:hAnsi="Times New Roman;Times;Serif"/>
          <w:b w:val="false"/>
          <w:i w:val="false"/>
          <w:caps w:val="false"/>
          <w:smallCaps w:val="false"/>
          <w:sz w:val="20"/>
        </w:rPr>
        <w:t xml:space="preserve">20:1 reverse stock split that took place on August 9, 2023 and the </w:t>
      </w:r>
      <w:bookmarkStart w:id="602" w:name="xdx_90C_eus-gaap--StockholdersEquityReve"/>
      <w:bookmarkEnd w:id="602"/>
      <w:r>
        <w:rPr>
          <w:rFonts w:ascii="Times New Roman;Times;Serif" w:hAnsi="Times New Roman;Times;Serif"/>
          <w:b w:val="false"/>
          <w:i w:val="false"/>
          <w:caps w:val="false"/>
          <w:smallCaps w:val="false"/>
          <w:sz w:val="20"/>
        </w:rPr>
        <w:t>10:1 reverse stock split that took place on August 28, 2025. As of December 31, 2025, the remaining notes comprising the outstanding balance of $</w:t>
      </w:r>
      <w:bookmarkStart w:id="603" w:name="xdx_903_eus-gaap--NotesPayable_iI_c20251"/>
      <w:bookmarkEnd w:id="603"/>
      <w:r>
        <w:rPr>
          <w:rFonts w:ascii="Times New Roman;Times;Serif" w:hAnsi="Times New Roman;Times;Serif"/>
          <w:b w:val="false"/>
          <w:i w:val="false"/>
          <w:caps w:val="false"/>
          <w:smallCaps w:val="false"/>
          <w:sz w:val="20"/>
        </w:rPr>
        <w:t>185,095 are no longer convertible and have been reclassified to notes payable. See Note 11. Accrued interest on this note payable as of December 31, 2025 was $</w:t>
      </w:r>
      <w:bookmarkStart w:id="604" w:name="xdx_900_eus-gaap--InterestPayableCurrent"/>
      <w:bookmarkEnd w:id="604"/>
      <w:r>
        <w:rPr>
          <w:rFonts w:ascii="Times New Roman;Times;Serif" w:hAnsi="Times New Roman;Times;Serif"/>
          <w:b w:val="false"/>
          <w:i w:val="false"/>
          <w:caps w:val="false"/>
          <w:smallCaps w:val="false"/>
          <w:sz w:val="20"/>
        </w:rPr>
        <w:t>94,455 and $</w:t>
      </w:r>
      <w:bookmarkStart w:id="605" w:name="xdx_90F_eus-gaap--InterestPayableCurrent"/>
      <w:bookmarkEnd w:id="605"/>
      <w:r>
        <w:rPr>
          <w:rFonts w:ascii="Times New Roman;Times;Serif" w:hAnsi="Times New Roman;Times;Serif"/>
          <w:b w:val="false"/>
          <w:i w:val="false"/>
          <w:caps w:val="false"/>
          <w:smallCaps w:val="false"/>
          <w:sz w:val="20"/>
        </w:rPr>
        <w:t>79,647 at December 31, 2024.</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PPP Loan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loan under the Paycheck Protection Program in 2020, which was fully forgiven in 2021. The Company recognized a gain on extinguishment of debt in 2021. No amounts remain outstanding.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Short term loans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2020, the Company entered into a Promissory Note with the U.S. Small Business Administration (“SBA”) for $</w:t>
      </w:r>
      <w:bookmarkStart w:id="606" w:name="xdx_90F_eus-gaap--DebtInstrumentFaceAmou"/>
      <w:bookmarkEnd w:id="606"/>
      <w:r>
        <w:rPr>
          <w:rFonts w:ascii="Times New Roman;Times;Serif" w:hAnsi="Times New Roman;Times;Serif"/>
          <w:b w:val="false"/>
          <w:i w:val="false"/>
          <w:caps w:val="false"/>
          <w:smallCaps w:val="false"/>
          <w:sz w:val="20"/>
        </w:rPr>
        <w:t xml:space="preserve">150,000. The loan has a </w:t>
      </w:r>
      <w:bookmarkStart w:id="607" w:name="xdx_909_eus-gaap--DebtInstrumentTerm_dtY"/>
      <w:bookmarkEnd w:id="607"/>
      <w:r>
        <w:rPr>
          <w:rFonts w:ascii="Times New Roman;Times;Serif" w:hAnsi="Times New Roman;Times;Serif"/>
          <w:b w:val="false"/>
          <w:i w:val="false"/>
          <w:caps w:val="false"/>
          <w:smallCaps w:val="false"/>
          <w:sz w:val="20"/>
        </w:rPr>
        <w:t xml:space="preserve">30thirty-year term and bears interest at a rate of </w:t>
      </w:r>
      <w:bookmarkStart w:id="608" w:name="xdx_90E_eus-gaap--DebtInstrumentInterest"/>
      <w:bookmarkEnd w:id="608"/>
      <w:r>
        <w:rPr>
          <w:rFonts w:ascii="Times New Roman;Times;Serif" w:hAnsi="Times New Roman;Times;Serif"/>
          <w:b w:val="false"/>
          <w:i w:val="false"/>
          <w:caps w:val="false"/>
          <w:smallCaps w:val="false"/>
          <w:sz w:val="20"/>
        </w:rPr>
        <w:t>3.75% per annum. Monthly principal and interest payments are deferred for twelve months after the date of disbursement. The loan may be prepaid at any time prior to maturity with no prepayment penalties. The Promissory Note contains events of default and other provisions customary for a loan of this type. As of December 31, 2025 and 2024, the balance of the loan was $</w:t>
      </w:r>
      <w:bookmarkStart w:id="609" w:name="xdx_902_eus-gaap--ShortTermBorrowings_iI"/>
      <w:bookmarkStart w:id="610" w:name="xdx_90E_eus-gaap--ShortTermBorrowings_iI"/>
      <w:bookmarkEnd w:id="609"/>
      <w:bookmarkEnd w:id="610"/>
      <w:r>
        <w:rPr>
          <w:rFonts w:ascii="Times New Roman;Times;Serif" w:hAnsi="Times New Roman;Times;Serif"/>
          <w:b w:val="false"/>
          <w:i w:val="false"/>
          <w:caps w:val="false"/>
          <w:smallCaps w:val="false"/>
          <w:sz w:val="20"/>
        </w:rPr>
        <w:t>150,000. As of December 31, 2025 and December 31, 2024, the accrued interest on this note was $</w:t>
      </w:r>
      <w:bookmarkStart w:id="611" w:name="xdx_906_eus-gaap--InterestPayableCurrent"/>
      <w:bookmarkEnd w:id="611"/>
      <w:r>
        <w:rPr>
          <w:rFonts w:ascii="Times New Roman;Times;Serif" w:hAnsi="Times New Roman;Times;Serif"/>
          <w:b w:val="false"/>
          <w:i w:val="false"/>
          <w:caps w:val="false"/>
          <w:smallCaps w:val="false"/>
          <w:sz w:val="20"/>
        </w:rPr>
        <w:t>8,255 and $</w:t>
      </w:r>
      <w:bookmarkStart w:id="612" w:name="xdx_902_eus-gaap--InterestPayableCurrent"/>
      <w:bookmarkEnd w:id="612"/>
      <w:r>
        <w:rPr>
          <w:rFonts w:ascii="Times New Roman;Times;Serif" w:hAnsi="Times New Roman;Times;Serif"/>
          <w:b w:val="false"/>
          <w:i w:val="false"/>
          <w:caps w:val="false"/>
          <w:smallCaps w:val="false"/>
          <w:sz w:val="20"/>
        </w:rPr>
        <w:t>6,756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Company entered into three separate note payable agreements with three individuals for an aggregate amount of $</w:t>
      </w:r>
      <w:bookmarkStart w:id="613" w:name="xdx_902_eus-gaap--DebtInstrumentFaceAmou"/>
      <w:bookmarkEnd w:id="613"/>
      <w:r>
        <w:rPr>
          <w:rFonts w:ascii="Times New Roman;Times;Serif" w:hAnsi="Times New Roman;Times;Serif"/>
          <w:b w:val="false"/>
          <w:i w:val="false"/>
          <w:caps w:val="false"/>
          <w:smallCaps w:val="false"/>
          <w:sz w:val="20"/>
        </w:rPr>
        <w:t>37,199. The notes bear interest at a variable rate, are unsecured, and the parties have verbally agreed the notes will be due upon a qualifying financing event. As of December 30, 2025 and 2024, the balance of the loans totaled $</w:t>
      </w:r>
      <w:bookmarkStart w:id="614" w:name="xdx_902_eus-gaap--ShortTermBorrowings_iI"/>
      <w:bookmarkStart w:id="615" w:name="xdx_90D_eus-gaap--ShortTermBorrowings_iI"/>
      <w:bookmarkEnd w:id="614"/>
      <w:bookmarkEnd w:id="615"/>
      <w:r>
        <w:rPr>
          <w:rFonts w:ascii="Times New Roman;Times;Serif" w:hAnsi="Times New Roman;Times;Serif"/>
          <w:b w:val="false"/>
          <w:i w:val="false"/>
          <w:caps w:val="false"/>
          <w:smallCaps w:val="false"/>
          <w:sz w:val="20"/>
        </w:rPr>
        <w:t>13,000,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Notes payable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2018, in connection with the purchase of the entire membership interest of TinBu, the Company entered into several notes payable for $</w:t>
      </w:r>
      <w:bookmarkStart w:id="616" w:name="xdx_908_eus-gaap--DebtInstrumentFaceAmou"/>
      <w:bookmarkEnd w:id="616"/>
      <w:r>
        <w:rPr>
          <w:rFonts w:ascii="Times New Roman;Times;Serif" w:hAnsi="Times New Roman;Times;Serif"/>
          <w:b w:val="false"/>
          <w:i w:val="false"/>
          <w:caps w:val="false"/>
          <w:smallCaps w:val="false"/>
          <w:sz w:val="20"/>
        </w:rPr>
        <w:t xml:space="preserve">12,674,635 with the sellers of the TinBu and a broker involved in the transaction. The notes had an interest rate of </w:t>
      </w:r>
      <w:bookmarkStart w:id="617" w:name="xdx_903_eus-gaap--DebtInstrumentInterest"/>
      <w:bookmarkEnd w:id="617"/>
      <w:r>
        <w:rPr>
          <w:rFonts w:ascii="Times New Roman;Times;Serif" w:hAnsi="Times New Roman;Times;Serif"/>
          <w:b w:val="false"/>
          <w:i w:val="false"/>
          <w:caps w:val="false"/>
          <w:smallCaps w:val="false"/>
          <w:sz w:val="20"/>
        </w:rPr>
        <w:t xml:space="preserve">0%, and original maturity date of </w:t>
      </w:r>
      <w:bookmarkStart w:id="618" w:name="xdx_90D_eus-gaap--DebtInstrumentMaturity"/>
      <w:bookmarkEnd w:id="618"/>
      <w:r>
        <w:rPr>
          <w:rFonts w:ascii="Times New Roman;Times;Serif" w:hAnsi="Times New Roman;Times;Serif"/>
          <w:b w:val="false"/>
          <w:i w:val="false"/>
          <w:caps w:val="false"/>
          <w:smallCaps w:val="false"/>
          <w:sz w:val="20"/>
        </w:rPr>
        <w:t xml:space="preserve">January 25, 2022. The notes payable were modified during 2021 to extend the maturity to </w:t>
      </w:r>
      <w:bookmarkStart w:id="619" w:name="xdx_90A_eus-gaap--DebtInstrumentMaturity"/>
      <w:bookmarkEnd w:id="619"/>
      <w:r>
        <w:rPr>
          <w:rFonts w:ascii="Times New Roman;Times;Serif" w:hAnsi="Times New Roman;Times;Serif"/>
          <w:b w:val="false"/>
          <w:i w:val="false"/>
          <w:caps w:val="false"/>
          <w:smallCaps w:val="false"/>
          <w:sz w:val="20"/>
        </w:rPr>
        <w:t xml:space="preserve">June 30, 2022 and change the interest rate to include simple interest of </w:t>
      </w:r>
      <w:bookmarkStart w:id="620" w:name="xdx_906_eus-gaap--DebtInstrumentInterest"/>
      <w:bookmarkEnd w:id="620"/>
      <w:r>
        <w:rPr>
          <w:rFonts w:ascii="Times New Roman;Times;Serif" w:hAnsi="Times New Roman;Times;Serif"/>
          <w:b w:val="false"/>
          <w:i w:val="false"/>
          <w:caps w:val="false"/>
          <w:smallCaps w:val="false"/>
          <w:sz w:val="20"/>
        </w:rPr>
        <w:t>4.1% per annum effective October 1, 2021. Each of the amendments were evaluated and determined to be loan modifications and accounted for accordingly.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both December 30, 2025 and December 31, 2024, the balance of the notes was $</w:t>
      </w:r>
      <w:bookmarkStart w:id="621" w:name="xdx_901_eus-gaap--NotesPayable_iI_c20241"/>
      <w:bookmarkStart w:id="622" w:name="xdx_906_eus-gaap--NotesPayable_iI_c20251"/>
      <w:bookmarkEnd w:id="621"/>
      <w:bookmarkEnd w:id="622"/>
      <w:r>
        <w:rPr>
          <w:rFonts w:ascii="Times New Roman;Times;Serif" w:hAnsi="Times New Roman;Times;Serif"/>
          <w:b w:val="false"/>
          <w:i w:val="false"/>
          <w:caps w:val="false"/>
          <w:smallCaps w:val="false"/>
          <w:sz w:val="20"/>
        </w:rPr>
        <w:t>2,336,081. Accrued interest on these notes was $</w:t>
      </w:r>
      <w:bookmarkStart w:id="623" w:name="xdx_90C_eus-gaap--InterestPayableCurrent"/>
      <w:bookmarkEnd w:id="623"/>
      <w:r>
        <w:rPr>
          <w:rFonts w:ascii="Times New Roman;Times;Serif" w:hAnsi="Times New Roman;Times;Serif"/>
          <w:b w:val="false"/>
          <w:i w:val="false"/>
          <w:caps w:val="false"/>
          <w:smallCaps w:val="false"/>
          <w:sz w:val="20"/>
        </w:rPr>
        <w:t>410,669 on December 31, 2025 and $</w:t>
      </w:r>
      <w:bookmarkStart w:id="624" w:name="xdx_908_eus-gaap--InterestPayableCurrent"/>
      <w:bookmarkEnd w:id="624"/>
      <w:r>
        <w:rPr>
          <w:rFonts w:ascii="Times New Roman;Times;Serif" w:hAnsi="Times New Roman;Times;Serif"/>
          <w:b w:val="false"/>
          <w:i w:val="false"/>
          <w:caps w:val="false"/>
          <w:smallCaps w:val="false"/>
          <w:sz w:val="20"/>
        </w:rPr>
        <w:t>350,434 on December 31, 2024,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625" w:name="xdx_805_eus-gaap--StockholdersEquityNote"/>
      <w:bookmarkEnd w:id="625"/>
      <w:r>
        <w:rPr>
          <w:rFonts w:ascii="Times New Roman;Times;Serif" w:hAnsi="Times New Roman;Times;Serif"/>
          <w:b/>
          <w:i w:val="false"/>
          <w:caps w:val="false"/>
          <w:smallCaps w:val="false"/>
          <w:sz w:val="20"/>
        </w:rPr>
        <w:t xml:space="preserve">Note 10. </w:t>
      </w:r>
      <w:bookmarkStart w:id="626" w:name="xdx_82F_zmgz97i78uh2"/>
      <w:bookmarkEnd w:id="626"/>
      <w:r>
        <w:rPr>
          <w:rFonts w:ascii="Times New Roman;Times;Serif" w:hAnsi="Times New Roman;Times;Serif"/>
          <w:b/>
          <w:i w:val="false"/>
          <w:caps w:val="false"/>
          <w:smallCaps w:val="false"/>
          <w:sz w:val="20"/>
        </w:rPr>
        <w:t>Stockholders’ Equity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Split</w:t>
      </w:r>
    </w:p>
    <w:p>
      <w:pPr>
        <w:pStyle w:val="TextBody"/>
        <w:bidi w:val="0"/>
        <w:spacing w:before="0" w:after="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28, 2025, the Company filed a Certificate of Amendment (the “Certificate of Amendment”) with the Secretary of State of the State of Delaware to amend the Company’s Third Amended and Restated Certificate of Incorporation to effect, effective as of 5:30 p.m. Eastern Time on August 28, 2025, a </w:t>
      </w:r>
      <w:bookmarkStart w:id="627" w:name="xdx_905_eus-gaap--StockholdersEquityReve"/>
      <w:bookmarkEnd w:id="627"/>
      <w:r>
        <w:rPr>
          <w:rFonts w:ascii="Times New Roman;Times;Serif" w:hAnsi="Times New Roman;Times;Serif"/>
          <w:b w:val="false"/>
          <w:i w:val="false"/>
          <w:caps w:val="false"/>
          <w:smallCaps w:val="false"/>
          <w:sz w:val="20"/>
        </w:rPr>
        <w:t>10-for-1 reverse stock split (the “Reverse Stock Split”) of its common stock, par value $</w:t>
      </w:r>
      <w:bookmarkStart w:id="628" w:name="xdx_905_eus-gaap--CommonStockParOrStated"/>
      <w:bookmarkEnd w:id="628"/>
      <w:r>
        <w:rPr>
          <w:rFonts w:ascii="Times New Roman;Times;Serif" w:hAnsi="Times New Roman;Times;Serif"/>
          <w:b w:val="false"/>
          <w:i w:val="false"/>
          <w:caps w:val="false"/>
          <w:smallCaps w:val="false"/>
          <w:sz w:val="20"/>
        </w:rPr>
        <w:t xml:space="preserve">0.001 per share (“Common Stock”). </w:t>
      </w:r>
      <w:bookmarkStart w:id="629" w:name="xdx_903_eus-gaap--StockholdersEquityNote"/>
      <w:bookmarkEnd w:id="629"/>
      <w:r>
        <w:rPr>
          <w:rFonts w:ascii="Times New Roman;Times;Serif" w:hAnsi="Times New Roman;Times;Serif"/>
          <w:b w:val="false"/>
          <w:i w:val="false"/>
          <w:caps w:val="false"/>
          <w:smallCaps w:val="false"/>
          <w:sz w:val="20"/>
        </w:rPr>
        <w:t>At the effective time of the Reverse Stock Split, every ten(10) shares of Common Stock either issued and outstanding or held as treasury stock was automatically reclassified into one new share of Common Stock. The total number of shares of Common Stock authorized for issuance did not change as a result of the Reverse Stock Split. The Reverse Stock Split was approved by the Company’s stockholders at the Company’s 2024 annual meeting of its stockholders held virtually on February 20, 2025 (the “Annual Meeting”) and approved by the board of directors of the Company (the “Board”) on August 13,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CUSIP number for the Common Stock following the Reverse Stock Split is 54570M306. The par value per share of Common Stock will remain unchanged at $</w:t>
      </w:r>
      <w:bookmarkStart w:id="630" w:name="xdx_905_eus-gaap--CommonStockParOrStated"/>
      <w:bookmarkEnd w:id="630"/>
      <w:r>
        <w:rPr>
          <w:rFonts w:ascii="Times New Roman;Times;Serif" w:hAnsi="Times New Roman;Times;Serif"/>
          <w:b w:val="false"/>
          <w:i w:val="false"/>
          <w:caps w:val="false"/>
          <w:smallCaps w:val="false"/>
          <w:sz w:val="20"/>
        </w:rPr>
        <w:t>0.001. The Company’s publicly traded warrants continue to be traded on Nasdaq under the symbol “LTRYW” and the CUSIP number for the warrants remains unchanged.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result of the Reverse Stock Split, proportionate adjustments were made to the number of shares of Common Stock underlying the Company’s outstanding equity awards, the number of shares issuable upon the exercise of the Company’s outstanding warrants and the number of shares issuable under the Company’s equity incentive plans and certain existing agreements, as well as the exercise, grant and acquisition prices of such equity awards and warrants, as applicable.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were issued in connection with the Reverse Stock Split. Stockholders who would otherwise be entitled to receive fractional shares as a result of the Reverse Stock Split were entitled to a cash payment (without interest or deduction) in lieu thereof at a price equal to the fraction of one share to which the stockholder would otherwise be entitled multiplied by the closing price per share of Common Stock on Nasdaq on August 28, 2025 at 5:30 pm Eastern Standard time, the date of the effective time of the Reverse Stock Split.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the Reverse Stock Split were reflected in the Quarterly Report on Form 10-Q for the period ended September 30, 2025 and in all subsequent reports for all periods presented.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Company’s charter, the Company is authorized to issue </w:t>
      </w:r>
      <w:bookmarkStart w:id="631" w:name="xdx_90B_eus-gaap--PreferredStockSharesAu"/>
      <w:bookmarkEnd w:id="631"/>
      <w:r>
        <w:rPr>
          <w:rFonts w:ascii="Times New Roman;Times;Serif" w:hAnsi="Times New Roman;Times;Serif"/>
          <w:b w:val="false"/>
          <w:i w:val="false"/>
          <w:caps w:val="false"/>
          <w:smallCaps w:val="false"/>
          <w:sz w:val="20"/>
        </w:rPr>
        <w:t>1,000,000 shares of preferred stock, par value $</w:t>
      </w:r>
      <w:bookmarkStart w:id="632" w:name="xdx_900_eus-gaap--PreferredStockParOrSta"/>
      <w:bookmarkEnd w:id="632"/>
      <w:r>
        <w:rPr>
          <w:rFonts w:ascii="Times New Roman;Times;Serif" w:hAnsi="Times New Roman;Times;Serif"/>
          <w:b w:val="false"/>
          <w:i w:val="false"/>
          <w:caps w:val="false"/>
          <w:smallCaps w:val="false"/>
          <w:sz w:val="20"/>
        </w:rPr>
        <w:t xml:space="preserve">0.001 per share. Our board of directors has the authority without action by the stockholders, to designate and issue shares of preferred stock in one or more classes or series, and the number of shares constituting any such class or series, and to fix the voting powers, designations, preferences, limitations, restrictions and relative rights of each class or series of preferred stock, including, without limitation, dividend rights, conversion rights, redemption privileges and liquidation preferences, which rights may be greater than the rights of the holders of the common stock. As of December 31, 2025, there were </w:t>
      </w:r>
      <w:bookmarkStart w:id="633" w:name="xdx_909_eus-gaap--PreferredStockSharesOu"/>
      <w:bookmarkStart w:id="634" w:name="xdx_906_eus-gaap--PreferredStockSharesIs"/>
      <w:bookmarkEnd w:id="633"/>
      <w:bookmarkEnd w:id="634"/>
      <w:r>
        <w:rPr>
          <w:rFonts w:ascii="Times New Roman;Times;Serif" w:hAnsi="Times New Roman;Times;Serif"/>
          <w:b w:val="false"/>
          <w:i w:val="false"/>
          <w:caps w:val="false"/>
          <w:smallCaps w:val="false"/>
          <w:sz w:val="20"/>
        </w:rPr>
        <w:t>no shares of preferred stock issued and outstanding.</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8"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Charter authorizes the issuance of an aggregate of </w:t>
      </w:r>
      <w:bookmarkStart w:id="635" w:name="xdx_904_eus-gaap--CommonStockSharesAutho"/>
      <w:bookmarkEnd w:id="635"/>
      <w:r>
        <w:rPr>
          <w:rFonts w:ascii="Times New Roman;Times;Serif" w:hAnsi="Times New Roman;Times;Serif"/>
          <w:b w:val="false"/>
          <w:i w:val="false"/>
          <w:caps w:val="false"/>
          <w:smallCaps w:val="false"/>
          <w:sz w:val="20"/>
        </w:rPr>
        <w:t>500,000,000 shares of Common Stock, par value $</w:t>
      </w:r>
      <w:bookmarkStart w:id="636" w:name="xdx_909_eus-gaap--CommonStockParOrStated"/>
      <w:bookmarkEnd w:id="636"/>
      <w:r>
        <w:rPr>
          <w:rFonts w:ascii="Times New Roman;Times;Serif" w:hAnsi="Times New Roman;Times;Serif"/>
          <w:b w:val="false"/>
          <w:i w:val="false"/>
          <w:caps w:val="false"/>
          <w:smallCaps w:val="false"/>
          <w:sz w:val="20"/>
        </w:rPr>
        <w:t>0.001 per share. The shares of Common Stock are duly authorized, validly issued, fully paid and non-assessable. Our purpose is to engage in any lawful act or activity for which corporations may now or hereafter be organized under the DGCL. Unless our Board determines otherwise, we will issue all shares of our common stock in an uncertificated form. Holders of our Common Stock are entitled to one vote for each share held of record on all matters submitted to a vote of stockholders. The holders of Common Stock do not have cumulative voting rights in the election of directors. Upon our liquidation, dissolution or winding up and after payment in full of all amounts required to be paid to creditors and to the holders of preferred stock having liquidation preferences, if any, the holders of our Common Stock will be entitled to receive pro rata our remaining assets available for distribution.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December 31, 2024, </w:t>
      </w:r>
      <w:bookmarkStart w:id="637" w:name="xdx_90A_eus-gaap--StockIssuedDuringPerio"/>
      <w:bookmarkEnd w:id="637"/>
      <w:r>
        <w:rPr>
          <w:rFonts w:ascii="Times New Roman;Times;Serif" w:hAnsi="Times New Roman;Times;Serif"/>
          <w:b w:val="false"/>
          <w:i w:val="false"/>
          <w:caps w:val="false"/>
          <w:smallCaps w:val="false"/>
          <w:sz w:val="20"/>
        </w:rPr>
        <w:t xml:space="preserve">6,880,287 and </w:t>
      </w:r>
      <w:bookmarkStart w:id="638" w:name="xdx_907_eus-gaap--StockIssuedDuringPerio"/>
      <w:bookmarkEnd w:id="638"/>
      <w:r>
        <w:rPr>
          <w:rFonts w:ascii="Times New Roman;Times;Serif" w:hAnsi="Times New Roman;Times;Serif"/>
          <w:b w:val="false"/>
          <w:i w:val="false"/>
          <w:caps w:val="false"/>
          <w:smallCaps w:val="false"/>
          <w:sz w:val="20"/>
        </w:rPr>
        <w:t>1,832,685 shares of Common Stock, post reverse stock split, respectively, were outstanding.</w:t>
      </w:r>
    </w:p>
    <w:p>
      <w:pPr>
        <w:pStyle w:val="TextBody"/>
        <w:bidi w:val="0"/>
        <w:spacing w:before="0" w:after="0"/>
        <w:jc w:val="left"/>
        <w:rPr>
          <w:rFonts w:ascii="Times New Roman;Times;Serif" w:hAnsi="Times New Roman;Times;Serif"/>
          <w:b w:val="false"/>
          <w:i w:val="false"/>
          <w:caps w:val="false"/>
          <w:smallCaps w:val="false"/>
          <w:sz w:val="20"/>
        </w:rPr>
      </w:pPr>
      <w:bookmarkStart w:id="639" w:name="xdx_8BB_zpmOzIAG8nya"/>
      <w:bookmarkStart w:id="640" w:name="xdx_898_eus-gaap--ScheduleOfCommonStockO"/>
      <w:bookmarkEnd w:id="639"/>
      <w:bookmarkEnd w:id="640"/>
      <w:r>
        <w:rPr>
          <w:rFonts w:ascii="Times New Roman;Times;Serif" w:hAnsi="Times New Roman;Times;Serif"/>
          <w:b w:val="false"/>
          <w:i w:val="false"/>
          <w:caps w:val="false"/>
          <w:smallCaps w:val="false"/>
          <w:sz w:val="20"/>
        </w:rPr>
        <w:t>Schedule of Common Stock </w:t>
      </w:r>
    </w:p>
    <w:tbl>
      <w:tblPr>
        <w:tblW w:w="5845" w:type="dxa"/>
        <w:jc w:val="left"/>
        <w:tblInd w:w="0" w:type="dxa"/>
        <w:tblLayout w:type="fixed"/>
        <w:tblCellMar>
          <w:top w:w="0" w:type="dxa"/>
          <w:left w:w="0" w:type="dxa"/>
          <w:bottom w:w="0" w:type="dxa"/>
          <w:right w:w="0" w:type="dxa"/>
        </w:tblCellMar>
      </w:tblPr>
      <w:tblGrid>
        <w:gridCol w:w="4670"/>
        <w:gridCol w:w="60"/>
        <w:gridCol w:w="60"/>
        <w:gridCol w:w="980"/>
        <w:gridCol w:w="75"/>
      </w:tblGrid>
      <w:tr>
        <w:trPr/>
        <w:tc>
          <w:tcPr>
            <w:tcW w:w="4670" w:type="dxa"/>
            <w:tcBorders/>
            <w:shd w:fill="CCEEFF" w:val="clear"/>
            <w:vAlign w:val="center"/>
          </w:tcPr>
          <w:p>
            <w:pPr>
              <w:pStyle w:val="TableContents"/>
              <w:bidi w:val="0"/>
              <w:spacing w:before="0" w:after="283"/>
              <w:jc w:val="left"/>
              <w:rPr/>
            </w:pPr>
            <w:r>
              <w:rPr/>
              <w:t>As of December 31, 202</w:t>
            </w:r>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41" w:name="xdx_98D_eus-gaap--CommonStockSharesIssue"/>
            <w:bookmarkEnd w:id="641"/>
          </w:p>
        </w:tc>
        <w:tc>
          <w:tcPr>
            <w:tcW w:w="980" w:type="dxa"/>
            <w:tcBorders/>
            <w:shd w:fill="CCEEFF" w:val="clear"/>
            <w:vAlign w:val="center"/>
          </w:tcPr>
          <w:p>
            <w:pPr>
              <w:pStyle w:val="TableContents"/>
              <w:bidi w:val="0"/>
              <w:spacing w:before="0" w:after="283"/>
              <w:jc w:val="right"/>
              <w:rPr/>
            </w:pPr>
            <w:r>
              <w:rPr/>
              <w:t>1,832,685</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Stock granted in lieu of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42" w:name="xdx_989_ecustom--StockIssuedDuringPeriod"/>
            <w:bookmarkEnd w:id="642"/>
          </w:p>
        </w:tc>
        <w:tc>
          <w:tcPr>
            <w:tcW w:w="980" w:type="dxa"/>
            <w:tcBorders/>
            <w:shd w:fill="FFFFFF" w:val="clear"/>
            <w:vAlign w:val="center"/>
          </w:tcPr>
          <w:p>
            <w:pPr>
              <w:pStyle w:val="TableContents"/>
              <w:bidi w:val="0"/>
              <w:spacing w:before="0" w:after="283"/>
              <w:jc w:val="right"/>
              <w:rPr/>
            </w:pPr>
            <w:r>
              <w:rPr/>
              <w:t>2,709,931</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Conversion of Debt to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43" w:name="xdx_984_eus-gaap--StockIssuedDuringPerio"/>
            <w:bookmarkEnd w:id="643"/>
          </w:p>
        </w:tc>
        <w:tc>
          <w:tcPr>
            <w:tcW w:w="980" w:type="dxa"/>
            <w:tcBorders/>
            <w:shd w:fill="CCEEFF" w:val="clear"/>
            <w:vAlign w:val="center"/>
          </w:tcPr>
          <w:p>
            <w:pPr>
              <w:pStyle w:val="TableContents"/>
              <w:bidi w:val="0"/>
              <w:spacing w:before="0" w:after="283"/>
              <w:jc w:val="right"/>
              <w:rPr/>
            </w:pPr>
            <w:r>
              <w:rPr/>
              <w:t>672,553</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Stock Purchase Agreements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44" w:name="xdx_984_eus-gaap--StockIssuedDuringPerio"/>
            <w:bookmarkEnd w:id="644"/>
          </w:p>
        </w:tc>
        <w:tc>
          <w:tcPr>
            <w:tcW w:w="980" w:type="dxa"/>
            <w:tcBorders/>
            <w:shd w:fill="FFFFFF" w:val="clear"/>
            <w:vAlign w:val="center"/>
          </w:tcPr>
          <w:p>
            <w:pPr>
              <w:pStyle w:val="TableContents"/>
              <w:bidi w:val="0"/>
              <w:spacing w:before="0" w:after="283"/>
              <w:jc w:val="right"/>
              <w:rPr/>
            </w:pPr>
            <w:r>
              <w:rPr/>
              <w:t>1,495,118</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for acquisition of assets from Dotcom Ventures Inc.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45" w:name="xdx_980_eus-gaap--StockIssuedDuringPerio"/>
            <w:bookmarkEnd w:id="645"/>
          </w:p>
        </w:tc>
        <w:tc>
          <w:tcPr>
            <w:tcW w:w="980" w:type="dxa"/>
            <w:tcBorders/>
            <w:shd w:fill="CCEEFF" w:val="clear"/>
            <w:vAlign w:val="center"/>
          </w:tcPr>
          <w:p>
            <w:pPr>
              <w:pStyle w:val="TableContents"/>
              <w:bidi w:val="0"/>
              <w:spacing w:before="0" w:after="283"/>
              <w:jc w:val="right"/>
              <w:rPr/>
            </w:pPr>
            <w:r>
              <w:rPr/>
              <w:t>170,000</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As of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46" w:name="xdx_987_eus-gaap--CommonStockSharesIssue"/>
            <w:bookmarkEnd w:id="646"/>
          </w:p>
        </w:tc>
        <w:tc>
          <w:tcPr>
            <w:tcW w:w="980" w:type="dxa"/>
            <w:tcBorders/>
            <w:shd w:fill="FFFFFF" w:val="clear"/>
            <w:vAlign w:val="center"/>
          </w:tcPr>
          <w:p>
            <w:pPr>
              <w:pStyle w:val="TableContents"/>
              <w:bidi w:val="0"/>
              <w:spacing w:before="0" w:after="283"/>
              <w:jc w:val="right"/>
              <w:rPr/>
            </w:pPr>
            <w:r>
              <w:rPr/>
              <w:t>6,880,287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647" w:name="xdx_8AE_zkyb6zjjVTB6"/>
      <w:bookmarkEnd w:id="647"/>
      <w:r>
        <w:rPr>
          <w:caps w:val="false"/>
          <w:smallCaps w:val="false"/>
        </w:rPr>
        <w:t> </w:t>
      </w:r>
    </w:p>
    <w:p>
      <w:pPr>
        <w:pStyle w:val="TextBody"/>
        <w:bidi w:val="0"/>
        <w:spacing w:before="0" w:after="0"/>
        <w:ind w:left="8"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Public Warrants became exercisable 30 days after the Closing; the Company has an effective registration statement under the Securities Act covering the shares of common stock issuable upon exercise of the Public Warrants and a current prospectus relating to them is available (or the Company permits holders to exercise their Public Warrants on a cashless basis and such cashless exercise is exempt from registration under the Securities Act). The S-1 registration became effective November 24, 2021. The Public Warrants will expire </w:t>
      </w:r>
      <w:bookmarkStart w:id="648" w:name="xdx_90E_eus-gaap--WarrantsAndRightsOutst"/>
      <w:bookmarkEnd w:id="648"/>
      <w:r>
        <w:rPr>
          <w:rFonts w:ascii="Times New Roman;Times;Serif" w:hAnsi="Times New Roman;Times;Serif"/>
          <w:b w:val="false"/>
          <w:i w:val="false"/>
          <w:caps w:val="false"/>
          <w:smallCaps w:val="false"/>
          <w:sz w:val="20"/>
        </w:rPr>
        <w:t>five years after October 29, 2021, which was the completion of the TDAC Combination or earlier upon redemption or liquidation.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Public Warrants:</w:t>
      </w:r>
    </w:p>
    <w:p>
      <w:pPr>
        <w:pStyle w:val="TextBody"/>
        <w:bidi w:val="0"/>
        <w:spacing w:before="0" w:after="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185"/>
        <w:gridCol w:w="203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bl>
    <w:p>
      <w:pPr>
        <w:pStyle w:val="TextBody"/>
        <w:bidi w:val="0"/>
        <w:spacing w:before="0" w:after="0"/>
        <w:jc w:val="left"/>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170"/>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w:t>
            </w:r>
            <w:bookmarkStart w:id="649" w:name="xdx_909_eus-gaap--ClassOfWarrantOrRightE"/>
            <w:bookmarkEnd w:id="649"/>
            <w:r>
              <w:rPr>
                <w:rFonts w:ascii="Times New Roman;Times;Serif" w:hAnsi="Times New Roman;Times;Serif"/>
                <w:b w:val="false"/>
                <w:i w:val="false"/>
                <w:caps w:val="false"/>
                <w:smallCaps w:val="false"/>
                <w:sz w:val="20"/>
              </w:rPr>
              <w:t>0.01 per warrant;</w:t>
            </w:r>
          </w:p>
        </w:tc>
      </w:tr>
    </w:tbl>
    <w:p>
      <w:pPr>
        <w:pStyle w:val="TextBody"/>
        <w:bidi w:val="0"/>
        <w:spacing w:before="0" w:after="0"/>
        <w:jc w:val="left"/>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170"/>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 minimum of </w:t>
            </w:r>
            <w:bookmarkStart w:id="650" w:name="xdx_90E_ecustom--MinimumThresholdPeriodB"/>
            <w:bookmarkEnd w:id="650"/>
            <w:r>
              <w:rPr>
                <w:rFonts w:ascii="Times New Roman;Times;Serif" w:hAnsi="Times New Roman;Times;Serif"/>
                <w:b w:val="false"/>
                <w:i w:val="false"/>
                <w:caps w:val="false"/>
                <w:smallCaps w:val="false"/>
                <w:sz w:val="20"/>
              </w:rPr>
              <w:t>30 days’ prior written notice of redemption;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last sale price of the Company’s common stock equals or exceeds $</w:t>
            </w:r>
            <w:bookmarkStart w:id="651" w:name="xdx_90A_eus-gaap--SharePrice_iI_pid_c202"/>
            <w:bookmarkEnd w:id="651"/>
            <w:r>
              <w:rPr>
                <w:rFonts w:ascii="Times New Roman;Times;Serif" w:hAnsi="Times New Roman;Times;Serif"/>
                <w:b w:val="false"/>
                <w:i w:val="false"/>
                <w:caps w:val="false"/>
                <w:smallCaps w:val="false"/>
                <w:sz w:val="20"/>
              </w:rPr>
              <w:t xml:space="preserve">3,200.00 per share for any </w:t>
            </w:r>
            <w:bookmarkStart w:id="652" w:name="xdx_90F_ecustom--NumberOfTradingDays_dtD"/>
            <w:bookmarkEnd w:id="652"/>
            <w:r>
              <w:rPr>
                <w:rFonts w:ascii="Times New Roman;Times;Serif" w:hAnsi="Times New Roman;Times;Serif"/>
                <w:b w:val="false"/>
                <w:i w:val="false"/>
                <w:caps w:val="false"/>
                <w:smallCaps w:val="false"/>
                <w:sz w:val="20"/>
              </w:rPr>
              <w:t xml:space="preserve">20 trading days within a </w:t>
            </w:r>
            <w:bookmarkStart w:id="653" w:name="xdx_902_ecustom--NumberOfTradingDays_dtD"/>
            <w:bookmarkEnd w:id="653"/>
            <w:r>
              <w:rPr>
                <w:rFonts w:ascii="Times New Roman;Times;Serif" w:hAnsi="Times New Roman;Times;Serif"/>
                <w:b w:val="false"/>
                <w:i w:val="false"/>
                <w:caps w:val="false"/>
                <w:smallCaps w:val="false"/>
                <w:sz w:val="20"/>
              </w:rPr>
              <w:t>30-trading day period ending on the third trading day prior to the date on which the Company sends the notice of redemption to the warrant holders;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and only if, there is a current registration statement in effect with respect to the shares of common stock underlying such warrants at the time of redemption and for the entire </w:t>
            </w:r>
            <w:bookmarkStart w:id="654" w:name="xdx_90A_ecustom--NumberOfTradingDays_dtD"/>
            <w:bookmarkEnd w:id="654"/>
            <w:r>
              <w:rPr>
                <w:rFonts w:ascii="Times New Roman;Times;Serif" w:hAnsi="Times New Roman;Times;Serif"/>
                <w:b w:val="false"/>
                <w:i w:val="false"/>
                <w:caps w:val="false"/>
                <w:smallCaps w:val="false"/>
                <w:sz w:val="20"/>
              </w:rPr>
              <w:t>30-day trading period referred to above and continuing each day thereafter until the date of redemption.</w:t>
            </w:r>
          </w:p>
        </w:tc>
      </w:tr>
    </w:tbl>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calls the Public Warrants for redemption, management will have the option to require all holders that wish to exercise the Public Warrants to do so on a “cashless basis,” as described in the warrant agreement. These warrants cannot be net cash settled by the Company in any event.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giving effect to the Business Combination, and the reverse stock split which took place on August 28, 2025, as of December 31, 2025, there were Public Warrants outstanding for the issuance of </w:t>
      </w:r>
      <w:bookmarkStart w:id="655" w:name="xdx_90C_eus-gaap--ClassOfWarrantOrRightN"/>
      <w:bookmarkEnd w:id="655"/>
      <w:r>
        <w:rPr>
          <w:rFonts w:ascii="Times New Roman;Times;Serif" w:hAnsi="Times New Roman;Times;Serif"/>
          <w:b w:val="false"/>
          <w:i w:val="false"/>
          <w:caps w:val="false"/>
          <w:smallCaps w:val="false"/>
          <w:sz w:val="20"/>
        </w:rPr>
        <w:t xml:space="preserve">100,625 shares of common stock of the Company, which total includes previously issued warrants of AutoLotto, now warrants of Sports Entertainment Gaming Global Corporation., which are exercisable for the purchase of an aggregate of </w:t>
      </w:r>
      <w:bookmarkStart w:id="656" w:name="xdx_90C_eus-gaap--ShareBasedCompensation"/>
      <w:bookmarkEnd w:id="656"/>
      <w:r>
        <w:rPr>
          <w:rFonts w:ascii="Times New Roman;Times;Serif" w:hAnsi="Times New Roman;Times;Serif"/>
          <w:b w:val="false"/>
          <w:i w:val="false"/>
          <w:caps w:val="false"/>
          <w:smallCaps w:val="false"/>
          <w:sz w:val="20"/>
        </w:rPr>
        <w:t>1,978 shares of common stock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Adjustments were made to the Company’s warrants based on the </w:t>
      </w:r>
      <w:bookmarkStart w:id="657" w:name="xdx_904_eus-gaap--StockholdersEquityNote"/>
      <w:bookmarkEnd w:id="657"/>
      <w:r>
        <w:rPr>
          <w:rFonts w:ascii="Times New Roman;Times;Serif" w:hAnsi="Times New Roman;Times;Serif"/>
          <w:b w:val="false"/>
          <w:i w:val="false"/>
          <w:caps w:val="false"/>
          <w:smallCaps w:val="false"/>
          <w:sz w:val="20"/>
        </w:rPr>
        <w:t xml:space="preserve">10:1 reverse split in August of 2025 and the previous </w:t>
      </w:r>
      <w:bookmarkStart w:id="658" w:name="xdx_90F_eus-gaap--StockholdersEquityNote"/>
      <w:bookmarkEnd w:id="658"/>
      <w:r>
        <w:rPr>
          <w:rFonts w:ascii="Times New Roman;Times;Serif" w:hAnsi="Times New Roman;Times;Serif"/>
          <w:b w:val="false"/>
          <w:i w:val="false"/>
          <w:caps w:val="false"/>
          <w:smallCaps w:val="false"/>
          <w:sz w:val="20"/>
        </w:rPr>
        <w:t>20:1 reverse split in August of 2023. The adjustments were made automatically. The number of shares of common stock issued subject to stock options, warrants, or convertible securities was automatically decreased by the split ratio and the exercise price or conversion ratio was automatically proportionately increased by the same split ratio.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warrants of TDAC issued before the business combination were forfeited and did not transfer to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w:t>
      </w:r>
      <w:bookmarkStart w:id="659" w:name="xdx_90E_eus-gaap--ClassOfWarrantOrRightO"/>
      <w:bookmarkEnd w:id="659"/>
      <w:r>
        <w:rPr>
          <w:rFonts w:ascii="Times New Roman;Times;Serif" w:hAnsi="Times New Roman;Times;Serif"/>
          <w:b w:val="false"/>
          <w:i w:val="false"/>
          <w:caps w:val="false"/>
          <w:smallCaps w:val="false"/>
          <w:sz w:val="20"/>
        </w:rPr>
        <w:t xml:space="preserve">68,241 warrants were issued. The Company issued </w:t>
      </w:r>
      <w:bookmarkStart w:id="660" w:name="xdx_90E_eus-gaap--ClassOfWarrantOrRightO"/>
      <w:bookmarkEnd w:id="660"/>
      <w:r>
        <w:rPr>
          <w:rFonts w:ascii="Times New Roman;Times;Serif" w:hAnsi="Times New Roman;Times;Serif"/>
          <w:b w:val="false"/>
          <w:i w:val="false"/>
          <w:caps w:val="false"/>
          <w:smallCaps w:val="false"/>
          <w:sz w:val="20"/>
        </w:rPr>
        <w:t>236,506 warrants during the year ended December 31, 2024. All warrants issued during the years 2024 and 2025 are fully vested.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1" w:name="xdx_8B0_zkzLWn26Ev4c"/>
      <w:bookmarkStart w:id="662" w:name="xdx_891_eus-gaap--ScheduleOfStockholders"/>
      <w:bookmarkEnd w:id="661"/>
      <w:bookmarkEnd w:id="662"/>
      <w:r>
        <w:rPr>
          <w:rFonts w:ascii="Times New Roman;Times;Serif" w:hAnsi="Times New Roman;Times;Serif"/>
          <w:b w:val="false"/>
          <w:i w:val="false"/>
          <w:caps w:val="false"/>
          <w:smallCaps w:val="false"/>
          <w:sz w:val="20"/>
        </w:rPr>
        <w:t>Schedule of Common Stock Warrants </w:t>
      </w:r>
    </w:p>
    <w:tbl>
      <w:tblPr>
        <w:tblW w:w="8484" w:type="dxa"/>
        <w:jc w:val="left"/>
        <w:tblInd w:w="0" w:type="dxa"/>
        <w:tblLayout w:type="fixed"/>
        <w:tblCellMar>
          <w:top w:w="0" w:type="dxa"/>
          <w:left w:w="0" w:type="dxa"/>
          <w:bottom w:w="0" w:type="dxa"/>
          <w:right w:w="0" w:type="dxa"/>
        </w:tblCellMar>
      </w:tblPr>
      <w:tblGrid>
        <w:gridCol w:w="3350"/>
        <w:gridCol w:w="60"/>
        <w:gridCol w:w="60"/>
        <w:gridCol w:w="1069"/>
        <w:gridCol w:w="95"/>
        <w:gridCol w:w="60"/>
        <w:gridCol w:w="169"/>
        <w:gridCol w:w="826"/>
        <w:gridCol w:w="60"/>
        <w:gridCol w:w="60"/>
        <w:gridCol w:w="196"/>
        <w:gridCol w:w="1054"/>
        <w:gridCol w:w="60"/>
        <w:gridCol w:w="60"/>
        <w:gridCol w:w="140"/>
        <w:gridCol w:w="1055"/>
        <w:gridCol w:w="11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Aggregate</w:t>
            </w:r>
          </w:p>
        </w:tc>
        <w:tc>
          <w:tcPr>
            <w:tcW w:w="11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Number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Intrinsic</w:t>
            </w:r>
          </w:p>
        </w:tc>
        <w:tc>
          <w:tcPr>
            <w:tcW w:w="11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Life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11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63" w:name="xdx_988_eus-gaap--ShareBasedCompensation"/>
            <w:bookmarkEnd w:id="663"/>
          </w:p>
        </w:tc>
        <w:tc>
          <w:tcPr>
            <w:tcW w:w="1069" w:type="dxa"/>
            <w:tcBorders/>
            <w:shd w:fill="CCEEFF" w:val="clear"/>
            <w:vAlign w:val="center"/>
          </w:tcPr>
          <w:p>
            <w:pPr>
              <w:pStyle w:val="TableContents"/>
              <w:bidi w:val="0"/>
              <w:spacing w:before="0" w:after="283"/>
              <w:jc w:val="right"/>
              <w:rPr/>
            </w:pPr>
            <w:r>
              <w:rPr/>
              <w:t>2,441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bookmarkStart w:id="664" w:name="xdx_984_ecustom--ShareBasedCompensationA"/>
            <w:bookmarkEnd w:id="664"/>
          </w:p>
        </w:tc>
        <w:tc>
          <w:tcPr>
            <w:tcW w:w="826" w:type="dxa"/>
            <w:tcBorders/>
            <w:shd w:fill="CCEEFF" w:val="clear"/>
            <w:vAlign w:val="center"/>
          </w:tcPr>
          <w:p>
            <w:pPr>
              <w:pStyle w:val="TableContents"/>
              <w:bidi w:val="0"/>
              <w:spacing w:before="0" w:after="283"/>
              <w:jc w:val="right"/>
              <w:rPr/>
            </w:pPr>
            <w:r>
              <w:rPr/>
              <w:t>304.02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bookmarkStart w:id="665" w:name="xdx_987_ecustom--ShareBasedCompensationA"/>
            <w:bookmarkEnd w:id="665"/>
          </w:p>
        </w:tc>
        <w:tc>
          <w:tcPr>
            <w:tcW w:w="1054" w:type="dxa"/>
            <w:tcBorders/>
            <w:shd w:fill="CCEEFF" w:val="clear"/>
            <w:vAlign w:val="center"/>
          </w:tcPr>
          <w:p>
            <w:pPr>
              <w:pStyle w:val="TableContents"/>
              <w:bidi w:val="0"/>
              <w:spacing w:before="0" w:after="283"/>
              <w:jc w:val="right"/>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66" w:name="xdx_98A_ecustom--ShareBasedCompensationA"/>
            <w:bookmarkEnd w:id="666"/>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67" w:name="xdx_98F_eus-gaap--ShareBasedCompensation"/>
            <w:bookmarkEnd w:id="667"/>
          </w:p>
        </w:tc>
        <w:tc>
          <w:tcPr>
            <w:tcW w:w="1069" w:type="dxa"/>
            <w:tcBorders/>
            <w:shd w:fill="FFFFFF" w:val="clear"/>
            <w:vAlign w:val="center"/>
          </w:tcPr>
          <w:p>
            <w:pPr>
              <w:pStyle w:val="TableContents"/>
              <w:bidi w:val="0"/>
              <w:spacing w:before="0" w:after="283"/>
              <w:jc w:val="right"/>
              <w:rPr/>
            </w:pPr>
            <w:r>
              <w:rPr/>
              <w:t>2,365,063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bookmarkStart w:id="668" w:name="xdx_98B_ecustom--ShareBasedCompensationA"/>
            <w:bookmarkEnd w:id="668"/>
          </w:p>
        </w:tc>
        <w:tc>
          <w:tcPr>
            <w:tcW w:w="8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bookmarkStart w:id="669" w:name="xdx_98A_ecustom--ShareBasedCompensationA"/>
            <w:bookmarkEnd w:id="669"/>
          </w:p>
        </w:tc>
        <w:tc>
          <w:tcPr>
            <w:tcW w:w="1054" w:type="dxa"/>
            <w:tcBorders/>
            <w:shd w:fill="FFFFFF" w:val="clear"/>
            <w:vAlign w:val="center"/>
          </w:tcPr>
          <w:p>
            <w:pPr>
              <w:pStyle w:val="TableContents"/>
              <w:bidi w:val="0"/>
              <w:spacing w:before="0" w:after="283"/>
              <w:jc w:val="right"/>
              <w:rPr/>
            </w:pPr>
            <w:r>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70" w:name="xdx_98E_ecustom--ShareBasedCompensationA"/>
            <w:bookmarkEnd w:id="670"/>
          </w:p>
        </w:tc>
        <w:tc>
          <w:tcPr>
            <w:tcW w:w="1055" w:type="dxa"/>
            <w:tcBorders/>
            <w:shd w:fill="FFFFFF" w:val="clear"/>
            <w:vAlign w:val="center"/>
          </w:tcPr>
          <w:p>
            <w:pPr>
              <w:pStyle w:val="TableContents"/>
              <w:bidi w:val="0"/>
              <w:spacing w:before="0" w:after="283"/>
              <w:jc w:val="right"/>
              <w:rPr/>
            </w:pPr>
            <w:r>
              <w:rPr/>
              <w:t>1,726,496</w:t>
            </w:r>
          </w:p>
        </w:tc>
        <w:tc>
          <w:tcPr>
            <w:tcW w:w="11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71" w:name="xdx_98C_eus-gaap--ShareBasedCompensation"/>
            <w:bookmarkEnd w:id="671"/>
          </w:p>
        </w:tc>
        <w:tc>
          <w:tcPr>
            <w:tcW w:w="106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bookmarkStart w:id="672" w:name="xdx_98A_ecustom--ShareBasedCompensationA"/>
            <w:bookmarkEnd w:id="672"/>
          </w:p>
        </w:tc>
        <w:tc>
          <w:tcPr>
            <w:tcW w:w="8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Forfeited/cancelled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73" w:name="xdx_989_eus-gaap--ShareBasedCompensation"/>
            <w:bookmarkEnd w:id="673"/>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74" w:name="xdx_986_ecustom--ShareBasedCompensationA"/>
            <w:bookmarkEnd w:id="674"/>
          </w:p>
        </w:tc>
        <w:tc>
          <w:tcPr>
            <w:tcW w:w="8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75" w:name="xdx_982_eus-gaap--ShareBasedCompensation"/>
            <w:bookmarkEnd w:id="675"/>
          </w:p>
        </w:tc>
        <w:tc>
          <w:tcPr>
            <w:tcW w:w="1069" w:type="dxa"/>
            <w:tcBorders/>
            <w:shd w:fill="CCEEFF" w:val="clear"/>
            <w:vAlign w:val="center"/>
          </w:tcPr>
          <w:p>
            <w:pPr>
              <w:pStyle w:val="TableContents"/>
              <w:bidi w:val="0"/>
              <w:spacing w:before="0" w:after="283"/>
              <w:jc w:val="right"/>
              <w:rPr/>
            </w:pPr>
            <w:r>
              <w:rPr/>
              <w:t>2,367,504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bookmarkStart w:id="676" w:name="xdx_984_ecustom--ShareBasedCompensationA"/>
            <w:bookmarkEnd w:id="676"/>
          </w:p>
        </w:tc>
        <w:tc>
          <w:tcPr>
            <w:tcW w:w="826" w:type="dxa"/>
            <w:tcBorders/>
            <w:shd w:fill="CCEEFF" w:val="clear"/>
            <w:vAlign w:val="center"/>
          </w:tcPr>
          <w:p>
            <w:pPr>
              <w:pStyle w:val="TableContents"/>
              <w:bidi w:val="0"/>
              <w:spacing w:before="0" w:after="283"/>
              <w:jc w:val="right"/>
              <w:rPr/>
            </w:pPr>
            <w:r>
              <w:rPr/>
              <w:t>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bookmarkStart w:id="677" w:name="xdx_98B_ecustom--ShareBasedCompensationA"/>
            <w:bookmarkEnd w:id="677"/>
          </w:p>
        </w:tc>
        <w:tc>
          <w:tcPr>
            <w:tcW w:w="1054" w:type="dxa"/>
            <w:tcBorders/>
            <w:shd w:fill="CCEEFF" w:val="clear"/>
            <w:vAlign w:val="center"/>
          </w:tcPr>
          <w:p>
            <w:pPr>
              <w:pStyle w:val="TableContents"/>
              <w:bidi w:val="0"/>
              <w:spacing w:before="0" w:after="283"/>
              <w:jc w:val="right"/>
              <w:rPr/>
            </w:pPr>
            <w:r>
              <w:rPr/>
              <w:t>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78" w:name="xdx_98B_ecustom--ShareBasedCompensationA"/>
            <w:bookmarkEnd w:id="678"/>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79" w:name="xdx_980_eus-gaap--ShareBasedCompensation"/>
            <w:bookmarkEnd w:id="679"/>
          </w:p>
        </w:tc>
        <w:tc>
          <w:tcPr>
            <w:tcW w:w="1069" w:type="dxa"/>
            <w:tcBorders/>
            <w:shd w:fill="FFFFFF" w:val="clear"/>
            <w:vAlign w:val="center"/>
          </w:tcPr>
          <w:p>
            <w:pPr>
              <w:pStyle w:val="TableContents"/>
              <w:bidi w:val="0"/>
              <w:spacing w:before="0" w:after="283"/>
              <w:jc w:val="right"/>
              <w:rPr/>
            </w:pPr>
            <w:r>
              <w:rPr/>
              <w:t>682,410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bookmarkStart w:id="680" w:name="xdx_985_ecustom--ShareBasedCompensationA"/>
            <w:bookmarkEnd w:id="680"/>
          </w:p>
        </w:tc>
        <w:tc>
          <w:tcPr>
            <w:tcW w:w="8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bookmarkStart w:id="681" w:name="xdx_981_ecustom--ShareBasedCompensationA"/>
            <w:bookmarkEnd w:id="681"/>
          </w:p>
        </w:tc>
        <w:tc>
          <w:tcPr>
            <w:tcW w:w="1054" w:type="dxa"/>
            <w:tcBorders/>
            <w:shd w:fill="FFFFFF" w:val="clear"/>
            <w:vAlign w:val="center"/>
          </w:tcPr>
          <w:p>
            <w:pPr>
              <w:pStyle w:val="TableContents"/>
              <w:bidi w:val="0"/>
              <w:spacing w:before="0" w:after="283"/>
              <w:jc w:val="right"/>
              <w:rPr/>
            </w:pPr>
            <w:r>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82" w:name="xdx_98D_ecustom--ShareBasedCompensationA"/>
            <w:bookmarkEnd w:id="682"/>
          </w:p>
        </w:tc>
        <w:tc>
          <w:tcPr>
            <w:tcW w:w="1055" w:type="dxa"/>
            <w:tcBorders/>
            <w:shd w:fill="FFFFFF" w:val="clear"/>
            <w:vAlign w:val="center"/>
          </w:tcPr>
          <w:p>
            <w:pPr>
              <w:pStyle w:val="TableContents"/>
              <w:bidi w:val="0"/>
              <w:spacing w:before="0" w:after="283"/>
              <w:jc w:val="right"/>
              <w:rPr/>
            </w:pPr>
            <w:r>
              <w:rPr/>
              <w:t>498,159</w:t>
            </w:r>
          </w:p>
        </w:tc>
        <w:tc>
          <w:tcPr>
            <w:tcW w:w="11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83" w:name="xdx_981_eus-gaap--ShareBasedCompensation"/>
            <w:bookmarkEnd w:id="683"/>
          </w:p>
        </w:tc>
        <w:tc>
          <w:tcPr>
            <w:tcW w:w="1069" w:type="dxa"/>
            <w:tcBorders/>
            <w:shd w:fill="CCEEFF" w:val="clear"/>
            <w:vAlign w:val="center"/>
          </w:tcPr>
          <w:p>
            <w:pPr>
              <w:pStyle w:val="TableContents"/>
              <w:bidi w:val="0"/>
              <w:spacing w:before="0" w:after="283"/>
              <w:jc w:val="right"/>
              <w:rPr/>
            </w:pPr>
            <w:r>
              <w:rPr/>
              <w:t>(2,626,415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84" w:name="xdx_989_ecustom--ShareBasedCompensationA"/>
            <w:bookmarkEnd w:id="684"/>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85" w:name="xdx_986_ecustom--ShareBasedCompensationA"/>
            <w:bookmarkEnd w:id="685"/>
          </w:p>
        </w:tc>
        <w:tc>
          <w:tcPr>
            <w:tcW w:w="1055" w:type="dxa"/>
            <w:tcBorders/>
            <w:shd w:fill="CCEEFF" w:val="clear"/>
            <w:vAlign w:val="center"/>
          </w:tcPr>
          <w:p>
            <w:pPr>
              <w:pStyle w:val="TableContents"/>
              <w:bidi w:val="0"/>
              <w:spacing w:before="0" w:after="283"/>
              <w:jc w:val="right"/>
              <w:rPr/>
            </w:pPr>
            <w:r>
              <w:rPr/>
              <w:t>(1,917,283</w:t>
            </w:r>
          </w:p>
        </w:tc>
        <w:tc>
          <w:tcPr>
            <w:tcW w:w="110" w:type="dxa"/>
            <w:tcBorders/>
            <w:shd w:fill="CCEEFF" w:val="clear"/>
            <w:vAlign w:val="center"/>
          </w:tcPr>
          <w:p>
            <w:pPr>
              <w:pStyle w:val="TableContents"/>
              <w:bidi w:val="0"/>
              <w:spacing w:before="0" w:after="283"/>
              <w:jc w:val="left"/>
              <w:rPr/>
            </w:pPr>
            <w:r>
              <w:rPr/>
              <w:t>)</w:t>
            </w:r>
          </w:p>
        </w:tc>
      </w:tr>
      <w:tr>
        <w:trPr/>
        <w:tc>
          <w:tcPr>
            <w:tcW w:w="3350" w:type="dxa"/>
            <w:tcBorders/>
            <w:shd w:fill="FFFFFF" w:val="clear"/>
            <w:vAlign w:val="center"/>
          </w:tcPr>
          <w:p>
            <w:pPr>
              <w:pStyle w:val="TableContents"/>
              <w:bidi w:val="0"/>
              <w:spacing w:before="0" w:after="283"/>
              <w:jc w:val="left"/>
              <w:rPr/>
            </w:pPr>
            <w:r>
              <w:rPr/>
              <w:t>Forfeited/cancelled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86" w:name="xdx_985_eus-gaap--ShareBasedCompensation"/>
            <w:bookmarkEnd w:id="686"/>
            <w:r>
              <w:rPr>
                <w:rFonts w:ascii="Times New Roman;Times;Serif" w:hAnsi="Times New Roman;Times;Serif"/>
                <w:b w:val="false"/>
                <w:i w:val="false"/>
                <w:caps w:val="false"/>
                <w:smallCaps w:val="false"/>
                <w:sz w:val="20"/>
              </w:rPr>
              <w:t>(2,292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87" w:name="xdx_988_ecustom--ShareBasedCompensationA"/>
            <w:bookmarkEnd w:id="687"/>
          </w:p>
        </w:tc>
        <w:tc>
          <w:tcPr>
            <w:tcW w:w="826" w:type="dxa"/>
            <w:tcBorders>
              <w:bottom w:val="single" w:sz="8" w:space="0" w:color="000000"/>
            </w:tcBorders>
            <w:shd w:fill="FFFFFF" w:val="clear"/>
            <w:tcMar>
              <w:bottom w:w="28" w:type="dxa"/>
            </w:tcMar>
            <w:vAlign w:val="center"/>
          </w:tcPr>
          <w:p>
            <w:pPr>
              <w:pStyle w:val="TableContents"/>
              <w:bidi w:val="0"/>
              <w:spacing w:before="0" w:after="283"/>
              <w:jc w:val="right"/>
              <w:rPr/>
            </w:pPr>
            <w:r>
              <w:rPr/>
              <w:t>30.40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88" w:name="xdx_980_eus-gaap--ShareBasedCompensation"/>
            <w:bookmarkEnd w:id="688"/>
          </w:p>
        </w:tc>
        <w:tc>
          <w:tcPr>
            <w:tcW w:w="1069" w:type="dxa"/>
            <w:tcBorders>
              <w:bottom w:val="double" w:sz="6" w:space="0" w:color="000000"/>
            </w:tcBorders>
            <w:shd w:fill="CCEEFF" w:val="clear"/>
            <w:tcMar>
              <w:bottom w:w="28" w:type="dxa"/>
            </w:tcMar>
            <w:vAlign w:val="center"/>
          </w:tcPr>
          <w:p>
            <w:pPr>
              <w:pStyle w:val="TableContents"/>
              <w:bidi w:val="0"/>
              <w:spacing w:before="0" w:after="283"/>
              <w:jc w:val="right"/>
              <w:rPr/>
            </w:pPr>
            <w:r>
              <w:rPr/>
              <w:t>421,207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89" w:name="xdx_98D_ecustom--ShareBasedCompensationA"/>
            <w:bookmarkEnd w:id="689"/>
          </w:p>
        </w:tc>
        <w:tc>
          <w:tcPr>
            <w:tcW w:w="82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90" w:name="xdx_984_ecustom--ShareBasedCompensationA"/>
            <w:bookmarkEnd w:id="690"/>
          </w:p>
        </w:tc>
        <w:tc>
          <w:tcPr>
            <w:tcW w:w="1054" w:type="dxa"/>
            <w:tcBorders>
              <w:bottom w:val="double" w:sz="6" w:space="0" w:color="000000"/>
            </w:tcBorders>
            <w:shd w:fill="CCEEFF" w:val="clear"/>
            <w:tcMar>
              <w:bottom w:w="28" w:type="dxa"/>
            </w:tcMar>
            <w:vAlign w:val="center"/>
          </w:tcPr>
          <w:p>
            <w:pPr>
              <w:pStyle w:val="TableContents"/>
              <w:bidi w:val="0"/>
              <w:spacing w:before="0" w:after="283"/>
              <w:jc w:val="right"/>
              <w:rPr/>
            </w:pPr>
            <w:r>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91" w:name="xdx_988_ecustom--ShareBasedCompensationA"/>
            <w:bookmarkEnd w:id="691"/>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307,482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bookmarkStart w:id="692" w:name="xdx_8A4_zH6j2JIvUZU5"/>
      <w:bookmarkEnd w:id="692"/>
      <w:r>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693" w:name="xdx_80C_eus-gaap--DisclosureOfShareBased"/>
      <w:bookmarkEnd w:id="693"/>
      <w:r>
        <w:rPr>
          <w:rFonts w:ascii="Times New Roman;Times;Serif" w:hAnsi="Times New Roman;Times;Serif"/>
          <w:b/>
          <w:i w:val="false"/>
          <w:caps w:val="false"/>
          <w:smallCaps w:val="false"/>
          <w:sz w:val="20"/>
        </w:rPr>
        <w:t xml:space="preserve">Note 11. </w:t>
      </w:r>
      <w:bookmarkStart w:id="694" w:name="xdx_820_zvNH9GaUWbmg"/>
      <w:bookmarkEnd w:id="694"/>
      <w:r>
        <w:rPr>
          <w:rFonts w:ascii="Times New Roman;Times;Serif" w:hAnsi="Times New Roman;Times;Serif"/>
          <w:b/>
          <w:i w:val="false"/>
          <w:caps w:val="false"/>
          <w:smallCaps w:val="false"/>
          <w:sz w:val="20"/>
        </w:rPr>
        <w:t>Stock-based Compensation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Expense </w:t>
      </w:r>
      <w:r>
        <w:rPr>
          <w:rFonts w:ascii="Times New Roman;Times;Serif" w:hAnsi="Times New Roman;Times;Serif"/>
          <w:b w:val="false"/>
          <w:i/>
          <w:caps w:val="false"/>
          <w:smallCaps w:val="false"/>
          <w:sz w:val="20"/>
        </w:rPr>
        <w:t>2015 Stock Option Plan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closing of the Business Combination, AutoLotto had the AutoLotto, Inc. 2015 Stock Option/Stock Issuance Plan (the “2015 Plan”) in place. Under the 2015 Plan, incentive stock options may be granted at a price not less than fair market value of the common stock (110% of fair value to holders of 10% or more of voting stock). If the Common Stock is at the time of grant listed on any Stock Exchange, then the Fair Market Value shall be the closing selling price per share of Common Stock on the date in question on the Stock Exchange, as such price is officially quoted in the composite tape of transactions on such exchange and published in The Wall Street Journal. If there is no closing selling price for the Common Stock on the date in question, then the Fair Market Value shall be the closing selling price on the last preceding date for which such quotation exists. If the Common Stock is at the time neither listed on any Stock Exchange, then the Fair Market Value shall be determined by the Board of Directors or the Committee acting in its capacity as administrator of the Plan after taking into account such factors as the Plan Administrator shall deem appropriate. </w:t>
      </w:r>
      <w:bookmarkStart w:id="695" w:name="xdx_90A_eus-gaap--ClassOfWarrantOrRightR"/>
      <w:bookmarkEnd w:id="695"/>
      <w:r>
        <w:rPr>
          <w:rFonts w:ascii="Times New Roman;Times;Serif" w:hAnsi="Times New Roman;Times;Serif"/>
          <w:b w:val="false"/>
          <w:i w:val="false"/>
          <w:caps w:val="false"/>
          <w:smallCaps w:val="false"/>
          <w:sz w:val="20"/>
        </w:rPr>
        <w:t>The maximum number of shares of Common Stock which may be issued over the term of the Plan shall not exceed Two Thousand Two Hundred Fifty (2,250). Options are exercisable over periods not to exceed 10 years (five years for incentive stock options granted to holders of 10% or more of voting stock) from the date of grant. Shares of Common Stock issued under the Stock Issuance Program may, in the discretion of the Plan Administrator, be fully and immediately vested upon issuance or may vest in one or more instalments over the Participant’s period of Service or upon attainment of specified performance objectives. The Plan Administrator may not impose a vesting schedule upon any option grant or the shares of Common Stock subject to that option which is more restrictive than twenty percent (</w:t>
      </w:r>
      <w:bookmarkStart w:id="696" w:name="xdx_906_ecustom--CommonStockSubjectToOpt"/>
      <w:bookmarkEnd w:id="696"/>
      <w:r>
        <w:rPr>
          <w:rFonts w:ascii="Times New Roman;Times;Serif" w:hAnsi="Times New Roman;Times;Serif"/>
          <w:b w:val="false"/>
          <w:i w:val="false"/>
          <w:caps w:val="false"/>
          <w:smallCaps w:val="false"/>
          <w:sz w:val="20"/>
        </w:rPr>
        <w:t>20%) per year vesting, with the initial vesting to occur not later than one (</w:t>
      </w:r>
      <w:bookmarkStart w:id="697" w:name="xdx_908_eus-gaap--ShareBasedCompensation"/>
      <w:bookmarkEnd w:id="697"/>
      <w:r>
        <w:rPr>
          <w:rFonts w:ascii="Times New Roman;Times;Serif" w:hAnsi="Times New Roman;Times;Serif"/>
          <w:b w:val="false"/>
          <w:i w:val="false"/>
          <w:caps w:val="false"/>
          <w:smallCaps w:val="false"/>
          <w:sz w:val="20"/>
        </w:rPr>
        <w:t>1) year after the option grant date. However, such limitation shall not be applicable to any option grants made to individuals who are officers of the Corporation, non-employee Board members or independent consultants.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2021 Equity Incentive Plan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Business Combination, our board of directors adopted, and our stockholders approved, the Lottery.com 2021 Incentive Award Plan (the “2021 Plan”) under which </w:t>
      </w:r>
      <w:bookmarkStart w:id="698" w:name="xdx_90F_eus-gaap--CommonStockCapitalShar"/>
      <w:bookmarkEnd w:id="698"/>
      <w:r>
        <w:rPr>
          <w:rFonts w:ascii="Times New Roman;Times;Serif" w:hAnsi="Times New Roman;Times;Serif"/>
          <w:b w:val="false"/>
          <w:i w:val="false"/>
          <w:caps w:val="false"/>
          <w:smallCaps w:val="false"/>
          <w:sz w:val="20"/>
        </w:rPr>
        <w:t>61,652 shares of Class A common stock were initially reserved for issuance. The 2021 Plan allows for the issuance of incentive and non-qualified stock options, stock appreciation rights, restricted stock, restricted stock units and other stock or cash-based awards. The number of shares of the Company’s Class A common stock available for issuance under the 2021 Plan increases annually on the first day of each calendar year, beginning on and including January 1, 2022 and ending on and including January 1, 2031 by a number of shares of Company common stock equal to five percent (</w:t>
      </w:r>
      <w:bookmarkStart w:id="699" w:name="xdx_900_eus-gaap--SharebasedCompensation"/>
      <w:bookmarkEnd w:id="699"/>
      <w:r>
        <w:rPr>
          <w:rFonts w:ascii="Times New Roman;Times;Serif" w:hAnsi="Times New Roman;Times;Serif"/>
          <w:b w:val="false"/>
          <w:i w:val="false"/>
          <w:caps w:val="false"/>
          <w:smallCaps w:val="false"/>
          <w:sz w:val="20"/>
        </w:rPr>
        <w:t>5%) of the total outstanding shares of Company common stock on the last day of the prior calendar year. Notwithstanding the foregoing, the Board may act prior to January 1st of a given year to provide that there will be no such increase in the share reserve for such year or that the increase in the share reserve for such year will be a lesser number of shares of Company common stock than would otherwise occur pursuant to the preceding sentence.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9, 2026, Company stockholders unanimously approved to increase the number of shares reserved for issuance under the 2021 Plan to </w:t>
      </w:r>
      <w:bookmarkStart w:id="700" w:name="xdx_907_eus-gaap--CommonStockCapitalShar"/>
      <w:bookmarkEnd w:id="700"/>
      <w:r>
        <w:rPr>
          <w:rFonts w:ascii="Times New Roman;Times;Serif" w:hAnsi="Times New Roman;Times;Serif"/>
          <w:b w:val="false"/>
          <w:i w:val="false"/>
          <w:caps w:val="false"/>
          <w:smallCaps w:val="false"/>
          <w:sz w:val="20"/>
        </w:rPr>
        <w:t>3,750,000.</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701" w:name="xdx_896_eus-gaap--ScheduleOfShareBasedCo"/>
      <w:bookmarkEnd w:id="701"/>
      <w:r>
        <w:rPr>
          <w:rFonts w:ascii="Times New Roman;Times;Serif" w:hAnsi="Times New Roman;Times;Serif"/>
          <w:b w:val="false"/>
          <w:i w:val="false"/>
          <w:caps w:val="false"/>
          <w:smallCaps w:val="false"/>
          <w:sz w:val="20"/>
        </w:rPr>
        <w:t>There were no grants of stock options during the year ended December 31, 2025. On February 5, 2024, the Company issued stock options to officers, directors, and key consultants. The exercise price for the options is $</w:t>
      </w:r>
      <w:bookmarkStart w:id="702" w:name="xdx_907_eus-gaap--SharesIssuedPricePerSh"/>
      <w:bookmarkEnd w:id="702"/>
      <w:r>
        <w:rPr>
          <w:rFonts w:ascii="Times New Roman;Times;Serif" w:hAnsi="Times New Roman;Times;Serif"/>
          <w:b w:val="false"/>
          <w:i w:val="false"/>
          <w:caps w:val="false"/>
          <w:smallCaps w:val="false"/>
          <w:sz w:val="20"/>
        </w:rPr>
        <w:t xml:space="preserve">19.50 and the maturity date in </w:t>
      </w:r>
      <w:bookmarkStart w:id="703" w:name="xdx_905_eus-gaap--ShareBasedCompensation"/>
      <w:bookmarkEnd w:id="703"/>
      <w:r>
        <w:rPr>
          <w:rFonts w:ascii="Times New Roman;Times;Serif" w:hAnsi="Times New Roman;Times;Serif"/>
          <w:b w:val="false"/>
          <w:i w:val="false"/>
          <w:caps w:val="false"/>
          <w:smallCaps w:val="false"/>
          <w:sz w:val="20"/>
        </w:rPr>
        <w:t>February 5, 2029. The following table shows stock option activity for the years ended December 31, 2025 and 2024:</w:t>
      </w:r>
    </w:p>
    <w:p>
      <w:pPr>
        <w:pStyle w:val="TextBody"/>
        <w:bidi w:val="0"/>
        <w:spacing w:before="0" w:after="0"/>
        <w:jc w:val="left"/>
        <w:rPr>
          <w:rFonts w:ascii="Times New Roman;Times;Serif" w:hAnsi="Times New Roman;Times;Serif"/>
          <w:b w:val="false"/>
          <w:i w:val="false"/>
          <w:caps w:val="false"/>
          <w:smallCaps w:val="false"/>
          <w:sz w:val="20"/>
        </w:rPr>
      </w:pPr>
      <w:bookmarkStart w:id="704" w:name="xdx_8B5_zaUAGZ5NVX47"/>
      <w:bookmarkEnd w:id="704"/>
      <w:r>
        <w:rPr>
          <w:rFonts w:ascii="Times New Roman;Times;Serif" w:hAnsi="Times New Roman;Times;Serif"/>
          <w:b w:val="false"/>
          <w:i w:val="false"/>
          <w:caps w:val="false"/>
          <w:smallCaps w:val="false"/>
          <w:sz w:val="20"/>
        </w:rPr>
        <w:t>Schedule of Stock Option Activity  </w:t>
      </w:r>
    </w:p>
    <w:tbl>
      <w:tblPr>
        <w:tblW w:w="9469" w:type="dxa"/>
        <w:jc w:val="left"/>
        <w:tblInd w:w="0" w:type="dxa"/>
        <w:tblLayout w:type="fixed"/>
        <w:tblCellMar>
          <w:top w:w="0" w:type="dxa"/>
          <w:left w:w="0" w:type="dxa"/>
          <w:bottom w:w="0" w:type="dxa"/>
          <w:right w:w="0" w:type="dxa"/>
        </w:tblCellMar>
      </w:tblPr>
      <w:tblGrid>
        <w:gridCol w:w="3350"/>
        <w:gridCol w:w="60"/>
        <w:gridCol w:w="727"/>
        <w:gridCol w:w="267"/>
        <w:gridCol w:w="60"/>
        <w:gridCol w:w="60"/>
        <w:gridCol w:w="89"/>
        <w:gridCol w:w="1191"/>
        <w:gridCol w:w="95"/>
        <w:gridCol w:w="60"/>
        <w:gridCol w:w="175"/>
        <w:gridCol w:w="700"/>
        <w:gridCol w:w="60"/>
        <w:gridCol w:w="60"/>
        <w:gridCol w:w="196"/>
        <w:gridCol w:w="1054"/>
        <w:gridCol w:w="60"/>
        <w:gridCol w:w="60"/>
        <w:gridCol w:w="636"/>
        <w:gridCol w:w="434"/>
        <w:gridCol w:w="7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Weighted</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Average</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Outstanding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Aggregate</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b/>
              </w:rPr>
            </w:pPr>
            <w:r>
              <w:rPr>
                <w:b/>
              </w:rPr>
              <w:t>Available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Intrinsic</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Grant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Awards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Life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ind w:left="0" w:right="0" w:firstLine="200"/>
              <w:jc w:val="left"/>
              <w:rPr/>
            </w:pPr>
            <w:r>
              <w:rPr/>
              <w:t> </w:t>
            </w:r>
            <w:bookmarkStart w:id="705" w:name="xdx_982_eus-gaap--ShareBasedCompensation"/>
            <w:bookmarkEnd w:id="705"/>
          </w:p>
        </w:tc>
        <w:tc>
          <w:tcPr>
            <w:tcW w:w="2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706" w:name="xdx_980_eus-gaap--ShareBasedCompensation"/>
            <w:bookmarkEnd w:id="706"/>
          </w:p>
        </w:tc>
        <w:tc>
          <w:tcPr>
            <w:tcW w:w="1191" w:type="dxa"/>
            <w:tcBorders/>
            <w:shd w:fill="CCEEFF" w:val="clear"/>
            <w:vAlign w:val="center"/>
          </w:tcPr>
          <w:p>
            <w:pPr>
              <w:pStyle w:val="TableContents"/>
              <w:bidi w:val="0"/>
              <w:spacing w:before="0" w:after="283"/>
              <w:jc w:val="right"/>
              <w:rPr/>
            </w:pPr>
            <w:r>
              <w:rPr/>
              <w:t>1,728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bookmarkStart w:id="707" w:name="xdx_986_eus-gaap--ShareBasedCompensation"/>
            <w:bookmarkEnd w:id="707"/>
          </w:p>
        </w:tc>
        <w:tc>
          <w:tcPr>
            <w:tcW w:w="700" w:type="dxa"/>
            <w:tcBorders/>
            <w:shd w:fill="CCEEFF" w:val="clear"/>
            <w:vAlign w:val="center"/>
          </w:tcPr>
          <w:p>
            <w:pPr>
              <w:pStyle w:val="TableContents"/>
              <w:bidi w:val="0"/>
              <w:spacing w:before="0" w:after="283"/>
              <w:jc w:val="right"/>
              <w:rPr/>
            </w:pPr>
            <w:r>
              <w:rPr/>
              <w:t>81.49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bookmarkStart w:id="708" w:name="xdx_902_eus-gaap--SharebasedCompensation"/>
            <w:bookmarkEnd w:id="708"/>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w:t>
            </w:r>
            <w:bookmarkStart w:id="709" w:name="xdx_985_eus-gaap--ShareBasedCompensation"/>
            <w:bookmarkEnd w:id="709"/>
          </w:p>
        </w:tc>
        <w:tc>
          <w:tcPr>
            <w:tcW w:w="43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left"/>
              <w:rPr/>
            </w:pPr>
            <w:r>
              <w:rPr/>
              <w:t> </w:t>
            </w:r>
            <w:bookmarkStart w:id="710" w:name="xdx_989_ecustom--ShareBasedCompensationA"/>
            <w:bookmarkEnd w:id="710"/>
          </w:p>
        </w:tc>
        <w:tc>
          <w:tcPr>
            <w:tcW w:w="2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bookmarkStart w:id="711" w:name="xdx_983_eus-gaap--ShareBasedCompensation"/>
            <w:bookmarkEnd w:id="711"/>
          </w:p>
        </w:tc>
        <w:tc>
          <w:tcPr>
            <w:tcW w:w="1191" w:type="dxa"/>
            <w:tcBorders/>
            <w:shd w:fill="FFFFFF" w:val="clear"/>
            <w:vAlign w:val="center"/>
          </w:tcPr>
          <w:p>
            <w:pPr>
              <w:pStyle w:val="TableContents"/>
              <w:bidi w:val="0"/>
              <w:spacing w:before="0" w:after="283"/>
              <w:jc w:val="right"/>
              <w:rPr/>
            </w:pPr>
            <w:r>
              <w:rPr/>
              <w:t>105,000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bookmarkStart w:id="712" w:name="xdx_980_eus-gaap--ShareBasedCompensation"/>
            <w:bookmarkEnd w:id="712"/>
          </w:p>
        </w:tc>
        <w:tc>
          <w:tcPr>
            <w:tcW w:w="700" w:type="dxa"/>
            <w:tcBorders/>
            <w:shd w:fill="FFFFFF" w:val="clear"/>
            <w:vAlign w:val="center"/>
          </w:tcPr>
          <w:p>
            <w:pPr>
              <w:pStyle w:val="TableContents"/>
              <w:bidi w:val="0"/>
              <w:spacing w:before="0" w:after="283"/>
              <w:jc w:val="right"/>
              <w:rPr/>
            </w:pPr>
            <w:r>
              <w:rPr/>
              <w:t>19.50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bookmarkStart w:id="713" w:name="xdx_90A_ecustom--SharebasedCompensationA"/>
            <w:bookmarkEnd w:id="713"/>
            <w:r>
              <w:rPr/>
              <w:t>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left"/>
              <w:rPr/>
            </w:pPr>
            <w:r>
              <w:rPr/>
              <w:t> </w:t>
            </w:r>
            <w:bookmarkStart w:id="714" w:name="xdx_980_ecustom--ShareBasedCompensationA"/>
            <w:bookmarkEnd w:id="714"/>
          </w:p>
        </w:tc>
        <w:tc>
          <w:tcPr>
            <w:tcW w:w="2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715" w:name="xdx_982_eus-gaap--StockIssuedDuringPerio"/>
            <w:bookmarkEnd w:id="715"/>
          </w:p>
        </w:tc>
        <w:tc>
          <w:tcPr>
            <w:tcW w:w="11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bookmarkStart w:id="716" w:name="xdx_984_eus-gaap--ShareBasedCompensation"/>
            <w:bookmarkEnd w:id="716"/>
          </w:p>
        </w:tc>
        <w:tc>
          <w:tcPr>
            <w:tcW w:w="7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Forfeited/cancelled</w:t>
            </w:r>
          </w:p>
        </w:tc>
        <w:tc>
          <w:tcPr>
            <w:tcW w:w="60" w:type="dxa"/>
            <w:tcBorders/>
            <w:shd w:fill="FFFFFF" w:val="clear"/>
            <w:vAlign w:val="center"/>
          </w:tcPr>
          <w:p>
            <w:pPr>
              <w:pStyle w:val="TableContents"/>
              <w:bidi w:val="0"/>
              <w:spacing w:before="0" w:after="283"/>
              <w:jc w:val="left"/>
              <w:rPr/>
            </w:pPr>
            <w:r>
              <w:rPr/>
              <w:t> </w:t>
            </w:r>
          </w:p>
        </w:tc>
        <w:tc>
          <w:tcPr>
            <w:tcW w:w="7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17" w:name="xdx_98A_ecustom--ShareBasedCompensationA"/>
            <w:bookmarkEnd w:id="717"/>
          </w:p>
        </w:tc>
        <w:tc>
          <w:tcPr>
            <w:tcW w:w="26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18" w:name="xdx_987_eus-gaap--ShareBasedCompensation"/>
            <w:bookmarkEnd w:id="718"/>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19" w:name="xdx_989_eus-gaap--ShareBasedCompensation"/>
            <w:bookmarkEnd w:id="719"/>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left"/>
              <w:rPr/>
            </w:pPr>
            <w:r>
              <w:rPr/>
              <w:t> </w:t>
            </w:r>
            <w:bookmarkStart w:id="720" w:name="xdx_98A_eus-gaap--ShareBasedCompensation"/>
            <w:bookmarkEnd w:id="720"/>
          </w:p>
        </w:tc>
        <w:tc>
          <w:tcPr>
            <w:tcW w:w="2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721" w:name="xdx_98D_eus-gaap--ShareBasedCompensation"/>
            <w:bookmarkEnd w:id="721"/>
          </w:p>
        </w:tc>
        <w:tc>
          <w:tcPr>
            <w:tcW w:w="1191" w:type="dxa"/>
            <w:tcBorders/>
            <w:shd w:fill="CCEEFF" w:val="clear"/>
            <w:vAlign w:val="center"/>
          </w:tcPr>
          <w:p>
            <w:pPr>
              <w:pStyle w:val="TableContents"/>
              <w:bidi w:val="0"/>
              <w:spacing w:before="0" w:after="283"/>
              <w:jc w:val="right"/>
              <w:rPr/>
            </w:pPr>
            <w:r>
              <w:rPr/>
              <w:t>106,728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bookmarkStart w:id="722" w:name="xdx_987_eus-gaap--ShareBasedCompensation"/>
            <w:bookmarkEnd w:id="722"/>
          </w:p>
        </w:tc>
        <w:tc>
          <w:tcPr>
            <w:tcW w:w="700" w:type="dxa"/>
            <w:tcBorders/>
            <w:shd w:fill="CCEEFF" w:val="clear"/>
            <w:vAlign w:val="center"/>
          </w:tcPr>
          <w:p>
            <w:pPr>
              <w:pStyle w:val="TableContents"/>
              <w:bidi w:val="0"/>
              <w:spacing w:before="0" w:after="283"/>
              <w:jc w:val="right"/>
              <w:rPr/>
            </w:pPr>
            <w:r>
              <w:rPr/>
              <w:t>20.50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bookmarkStart w:id="723" w:name="xdx_902_eus-gaap--SharebasedCompensation"/>
            <w:bookmarkEnd w:id="723"/>
            <w:r>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bookmarkStart w:id="724" w:name="xdx_984_eus-gaap--ShareBasedCompensation"/>
            <w:bookmarkEnd w:id="724"/>
          </w:p>
        </w:tc>
        <w:tc>
          <w:tcPr>
            <w:tcW w:w="43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left"/>
              <w:rPr/>
            </w:pPr>
            <w:r>
              <w:rPr/>
              <w:t> </w:t>
            </w:r>
            <w:bookmarkStart w:id="725" w:name="xdx_98F_ecustom--ShareBasedCompensationA"/>
            <w:bookmarkEnd w:id="725"/>
          </w:p>
        </w:tc>
        <w:tc>
          <w:tcPr>
            <w:tcW w:w="26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bookmarkStart w:id="726" w:name="xdx_98E_eus-gaap--ShareBasedCompensation"/>
            <w:bookmarkEnd w:id="726"/>
          </w:p>
        </w:tc>
        <w:tc>
          <w:tcPr>
            <w:tcW w:w="11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bookmarkStart w:id="727" w:name="xdx_98B_eus-gaap--ShareBasedCompensation"/>
            <w:bookmarkEnd w:id="727"/>
          </w:p>
        </w:tc>
        <w:tc>
          <w:tcPr>
            <w:tcW w:w="7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left"/>
              <w:rPr/>
            </w:pPr>
            <w:r>
              <w:rPr/>
              <w:t> </w:t>
            </w:r>
            <w:bookmarkStart w:id="728" w:name="xdx_989_ecustom--ShareBasedCompensationA"/>
            <w:bookmarkEnd w:id="728"/>
          </w:p>
        </w:tc>
        <w:tc>
          <w:tcPr>
            <w:tcW w:w="2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729" w:name="xdx_98D_eus-gaap--StockIssuedDuringPerio"/>
            <w:bookmarkEnd w:id="729"/>
          </w:p>
        </w:tc>
        <w:tc>
          <w:tcPr>
            <w:tcW w:w="1191" w:type="dxa"/>
            <w:tcBorders/>
            <w:shd w:fill="CCEEFF" w:val="clear"/>
            <w:vAlign w:val="center"/>
          </w:tcPr>
          <w:p>
            <w:pPr>
              <w:pStyle w:val="TableContents"/>
              <w:bidi w:val="0"/>
              <w:spacing w:before="0" w:after="283"/>
              <w:jc w:val="right"/>
              <w:rPr/>
            </w:pPr>
            <w:r>
              <w:rPr/>
              <w:t>(4,871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bookmarkStart w:id="730" w:name="xdx_982_eus-gaap--ShareBasedCompensation"/>
            <w:bookmarkEnd w:id="730"/>
          </w:p>
        </w:tc>
        <w:tc>
          <w:tcPr>
            <w:tcW w:w="700" w:type="dxa"/>
            <w:tcBorders/>
            <w:shd w:fill="CCEEFF" w:val="clear"/>
            <w:vAlign w:val="center"/>
          </w:tcPr>
          <w:p>
            <w:pPr>
              <w:pStyle w:val="TableContents"/>
              <w:bidi w:val="0"/>
              <w:spacing w:before="0" w:after="283"/>
              <w:jc w:val="right"/>
              <w:rPr/>
            </w:pPr>
            <w:r>
              <w:rPr/>
              <w:t>19.50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Forfeited/cancelled (uncancelled)</w:t>
            </w:r>
          </w:p>
        </w:tc>
        <w:tc>
          <w:tcPr>
            <w:tcW w:w="60" w:type="dxa"/>
            <w:tcBorders/>
            <w:shd w:fill="FFFFFF" w:val="clear"/>
            <w:vAlign w:val="center"/>
          </w:tcPr>
          <w:p>
            <w:pPr>
              <w:pStyle w:val="TableContents"/>
              <w:bidi w:val="0"/>
              <w:spacing w:before="0" w:after="283"/>
              <w:jc w:val="left"/>
              <w:rPr/>
            </w:pPr>
            <w:r>
              <w:rPr/>
              <w:t> </w:t>
            </w:r>
          </w:p>
        </w:tc>
        <w:tc>
          <w:tcPr>
            <w:tcW w:w="7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31" w:name="xdx_985_ecustom--ShareBasedCompensationA"/>
            <w:bookmarkEnd w:id="731"/>
          </w:p>
        </w:tc>
        <w:tc>
          <w:tcPr>
            <w:tcW w:w="26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32" w:name="xdx_984_eus-gaap--ShareBasedCompensation"/>
            <w:bookmarkEnd w:id="732"/>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pPr>
            <w:r>
              <w:rPr/>
              <w:t>(744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33" w:name="xdx_98A_eus-gaap--ShareBasedCompensation"/>
            <w:bookmarkEnd w:id="733"/>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72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34" w:name="xdx_98E_eus-gaap--ShareBasedCompensation"/>
            <w:bookmarkEnd w:id="734"/>
          </w:p>
        </w:tc>
        <w:tc>
          <w:tcPr>
            <w:tcW w:w="2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35" w:name="xdx_98E_eus-gaap--ShareBasedCompensation"/>
            <w:bookmarkEnd w:id="735"/>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pPr>
            <w:r>
              <w:rPr/>
              <w:t>101,113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36" w:name="xdx_982_eus-gaap--ShareBasedCompensation"/>
            <w:bookmarkEnd w:id="736"/>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20.10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737" w:name="xdx_909_eus-gaap--SharebasedCompensation"/>
            <w:bookmarkEnd w:id="737"/>
            <w:r>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38" w:name="xdx_988_eus-gaap--ShareBasedCompensation"/>
            <w:bookmarkEnd w:id="738"/>
          </w:p>
        </w:tc>
        <w:tc>
          <w:tcPr>
            <w:tcW w:w="43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739" w:name="xdx_8A6_z1d9fa5L37Se"/>
      <w:bookmarkEnd w:id="739"/>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related to the employee options was $</w:t>
      </w:r>
      <w:bookmarkStart w:id="740" w:name="xdx_90A_eus-gaap--AllocatedShareBasedCom"/>
      <w:bookmarkStart w:id="741" w:name="xdx_90F_eus-gaap--AllocatedShareBasedCom"/>
      <w:bookmarkEnd w:id="740"/>
      <w:bookmarkEnd w:id="741"/>
      <w:r>
        <w:rPr>
          <w:rFonts w:ascii="Times New Roman;Times;Serif" w:hAnsi="Times New Roman;Times;Serif"/>
          <w:b w:val="false"/>
          <w:i w:val="false"/>
          <w:caps w:val="false"/>
          <w:smallCaps w:val="false"/>
          <w:sz w:val="20"/>
        </w:rPr>
        <w:t>0 for the years ended December 31, 2025 and December 31, 2024</w:t>
      </w:r>
    </w:p>
    <w:p>
      <w:pPr>
        <w:pStyle w:val="TextBody"/>
        <w:bidi w:val="0"/>
        <w:spacing w:before="0" w:after="0"/>
        <w:ind w:left="5120" w:right="0" w:hanging="5121"/>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bookmarkStart w:id="742" w:name="xdx_806_eus-gaap--EarningsPerShareTextBl"/>
      <w:bookmarkEnd w:id="742"/>
      <w:r>
        <w:rPr>
          <w:rFonts w:ascii="Times New Roman;Times;Serif" w:hAnsi="Times New Roman;Times;Serif"/>
          <w:b/>
          <w:i w:val="false"/>
          <w:caps w:val="false"/>
          <w:smallCaps w:val="false"/>
          <w:sz w:val="20"/>
        </w:rPr>
        <w:t xml:space="preserve">Note 12. </w:t>
      </w:r>
      <w:bookmarkStart w:id="743" w:name="xdx_823_zCMWGizQx3Rd"/>
      <w:bookmarkEnd w:id="743"/>
      <w:r>
        <w:rPr>
          <w:rFonts w:ascii="Times New Roman;Times;Serif" w:hAnsi="Times New Roman;Times;Serif"/>
          <w:b/>
          <w:i w:val="false"/>
          <w:caps w:val="false"/>
          <w:smallCaps w:val="false"/>
          <w:sz w:val="20"/>
        </w:rPr>
        <w:t>Loss Per Share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744" w:name="xdx_897_eus-gaap--ScheduleOfEarningsPerS"/>
      <w:bookmarkEnd w:id="744"/>
      <w:r>
        <w:rPr>
          <w:rFonts w:ascii="Times New Roman;Times;Serif" w:hAnsi="Times New Roman;Times;Serif"/>
          <w:b w:val="false"/>
          <w:i w:val="false"/>
          <w:caps w:val="false"/>
          <w:smallCaps w:val="false"/>
          <w:sz w:val="20"/>
        </w:rPr>
        <w:t xml:space="preserve">The following table sets forth the computation of basic and diluted net loss per share: </w:t>
      </w:r>
    </w:p>
    <w:p>
      <w:pPr>
        <w:pStyle w:val="TextBody"/>
        <w:bidi w:val="0"/>
        <w:spacing w:before="0" w:after="283"/>
        <w:jc w:val="left"/>
        <w:rPr/>
      </w:pPr>
      <w:r>
        <w:rPr/>
        <w:t> </w:t>
      </w:r>
    </w:p>
    <w:p>
      <w:pPr>
        <w:pStyle w:val="TextBody"/>
        <w:bidi w:val="0"/>
        <w:spacing w:before="0" w:after="283"/>
        <w:jc w:val="left"/>
        <w:rPr/>
      </w:pPr>
      <w:bookmarkStart w:id="745" w:name="xdx_8B2_z7yQp8yYCy0e"/>
      <w:bookmarkEnd w:id="745"/>
      <w:r>
        <w:rPr/>
        <w:t>Schedule of Basic and Diluted Net Income Loss Per Share</w:t>
      </w:r>
    </w:p>
    <w:tbl>
      <w:tblPr>
        <w:tblW w:w="7835" w:type="dxa"/>
        <w:jc w:val="left"/>
        <w:tblInd w:w="0" w:type="dxa"/>
        <w:tblLayout w:type="fixed"/>
        <w:tblCellMar>
          <w:top w:w="0" w:type="dxa"/>
          <w:left w:w="0" w:type="dxa"/>
          <w:bottom w:w="0" w:type="dxa"/>
          <w:right w:w="0" w:type="dxa"/>
        </w:tblCellMar>
      </w:tblPr>
      <w:tblGrid>
        <w:gridCol w:w="4880"/>
        <w:gridCol w:w="60"/>
        <w:gridCol w:w="140"/>
        <w:gridCol w:w="1175"/>
        <w:gridCol w:w="95"/>
        <w:gridCol w:w="60"/>
        <w:gridCol w:w="140"/>
        <w:gridCol w:w="1175"/>
        <w:gridCol w:w="110"/>
      </w:tblGrid>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46" w:name="xdx_49C_20250101__20251231_zJbTGnUzFpyi"/>
            <w:bookmarkEnd w:id="746"/>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47" w:name="xdx_495_20240101__20241231_zExOBVOYp4A7"/>
            <w:bookmarkEnd w:id="747"/>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748" w:name="xdx_400_eus-gaap--ComprehensiveIncomeNet"/>
            <w:bookmarkEnd w:id="748"/>
          </w:p>
        </w:tc>
      </w:tr>
      <w:tr>
        <w:trPr/>
        <w:tc>
          <w:tcPr>
            <w:tcW w:w="4880" w:type="dxa"/>
            <w:tcBorders/>
            <w:shd w:fill="CCEEFF" w:val="clear"/>
            <w:vAlign w:val="center"/>
          </w:tcPr>
          <w:p>
            <w:pPr>
              <w:pStyle w:val="TableContents"/>
              <w:bidi w:val="0"/>
              <w:spacing w:before="0" w:after="283"/>
              <w:jc w:val="left"/>
              <w:rPr/>
            </w:pPr>
            <w:r>
              <w:rPr/>
              <w:t>Comprehensive net loss attributable to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(20,303,608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(28,221,605</w:t>
            </w:r>
          </w:p>
        </w:tc>
        <w:tc>
          <w:tcPr>
            <w:tcW w:w="110" w:type="dxa"/>
            <w:tcBorders/>
            <w:shd w:fill="CCEEFF" w:val="clear"/>
            <w:vAlign w:val="center"/>
          </w:tcPr>
          <w:p>
            <w:pPr>
              <w:pStyle w:val="TableContents"/>
              <w:bidi w:val="0"/>
              <w:spacing w:before="0" w:after="283"/>
              <w:jc w:val="left"/>
              <w:rPr/>
            </w:pPr>
            <w:r>
              <w:rPr/>
              <w:t>)</w:t>
            </w:r>
          </w:p>
        </w:tc>
      </w:tr>
      <w:tr>
        <w:trPr/>
        <w:tc>
          <w:tcPr>
            <w:tcW w:w="4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749" w:name="xdx_405_eus-gaap--WeightedAverageNumberO"/>
            <w:bookmarkEnd w:id="749"/>
          </w:p>
        </w:tc>
      </w:tr>
      <w:tr>
        <w:trPr/>
        <w:tc>
          <w:tcPr>
            <w:tcW w:w="4880" w:type="dxa"/>
            <w:tcBorders/>
            <w:shd w:fill="CCEEFF" w:val="clear"/>
            <w:vAlign w:val="center"/>
          </w:tcPr>
          <w:p>
            <w:pPr>
              <w:pStyle w:val="TableContents"/>
              <w:bidi w:val="0"/>
              <w:spacing w:before="0" w:after="283"/>
              <w:jc w:val="left"/>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750" w:name="xdx_907_eus-gaap--WeightedAverageNumberO"/>
            <w:bookmarkStart w:id="751" w:name="xdx_908_eus-gaap--WeightedAverageNumberO"/>
            <w:bookmarkEnd w:id="750"/>
            <w:bookmarkEnd w:id="751"/>
            <w:r>
              <w:rPr/>
              <w:t>3,515,444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752" w:name="xdx_901_eus-gaap--WeightedAverageNumberO"/>
            <w:bookmarkStart w:id="753" w:name="xdx_904_eus-gaap--WeightedAverageNumberO"/>
            <w:bookmarkEnd w:id="752"/>
            <w:bookmarkEnd w:id="753"/>
            <w:r>
              <w:rPr/>
              <w:t>1,437,534</w:t>
            </w:r>
          </w:p>
        </w:tc>
        <w:tc>
          <w:tcPr>
            <w:tcW w:w="11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Net loss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754" w:name="xdx_901_eus-gaap--EarningsPerShareDilute"/>
            <w:bookmarkStart w:id="755" w:name="xdx_908_eus-gaap--EarningsPerShareBasic_"/>
            <w:bookmarkEnd w:id="754"/>
            <w:bookmarkEnd w:id="755"/>
            <w:r>
              <w:rPr/>
              <w:t>(5.78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756" w:name="xdx_90C_eus-gaap--EarningsPerShareDilute"/>
            <w:bookmarkStart w:id="757" w:name="xdx_90C_eus-gaap--EarningsPerShareBasic_"/>
            <w:bookmarkEnd w:id="756"/>
            <w:bookmarkEnd w:id="757"/>
            <w:r>
              <w:rPr/>
              <w:t>(19.63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bookmarkStart w:id="758" w:name="xdx_8A3_zrMW6Cvl3YUb"/>
      <w:bookmarkEnd w:id="75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Company excluded </w:t>
      </w:r>
      <w:bookmarkStart w:id="759" w:name="xdx_90E_eus-gaap--AntidilutiveSecurities"/>
      <w:bookmarkEnd w:id="759"/>
      <w:r>
        <w:rPr>
          <w:rFonts w:ascii="Times New Roman;Times;Serif" w:hAnsi="Times New Roman;Times;Serif"/>
          <w:b w:val="false"/>
          <w:i w:val="false"/>
          <w:caps w:val="false"/>
          <w:smallCaps w:val="false"/>
          <w:sz w:val="20"/>
        </w:rPr>
        <w:t xml:space="preserve">1,046 stock options, </w:t>
      </w:r>
      <w:bookmarkStart w:id="760" w:name="xdx_90F_eus-gaap--AntidilutiveSecurities"/>
      <w:bookmarkEnd w:id="760"/>
      <w:r>
        <w:rPr>
          <w:rFonts w:ascii="Times New Roman;Times;Serif" w:hAnsi="Times New Roman;Times;Serif"/>
          <w:b w:val="false"/>
          <w:i w:val="false"/>
          <w:caps w:val="false"/>
          <w:smallCaps w:val="false"/>
          <w:sz w:val="20"/>
        </w:rPr>
        <w:t xml:space="preserve">2,342 restricted awards, </w:t>
      </w:r>
      <w:bookmarkStart w:id="761" w:name="xdx_908_eus-gaap--AntidilutiveSecurities"/>
      <w:bookmarkEnd w:id="761"/>
      <w:r>
        <w:rPr>
          <w:rFonts w:ascii="Times New Roman;Times;Serif" w:hAnsi="Times New Roman;Times;Serif"/>
          <w:b w:val="false"/>
          <w:i w:val="false"/>
          <w:caps w:val="false"/>
          <w:smallCaps w:val="false"/>
          <w:sz w:val="20"/>
        </w:rPr>
        <w:t xml:space="preserve">42,406 warrants, </w:t>
      </w:r>
      <w:bookmarkStart w:id="762" w:name="xdx_909_eus-gaap--AntidilutiveSecurities"/>
      <w:bookmarkEnd w:id="762"/>
      <w:r>
        <w:rPr>
          <w:rFonts w:ascii="Times New Roman;Times;Serif" w:hAnsi="Times New Roman;Times;Serif"/>
          <w:b w:val="false"/>
          <w:i w:val="false"/>
          <w:caps w:val="false"/>
          <w:smallCaps w:val="false"/>
          <w:sz w:val="20"/>
        </w:rPr>
        <w:t xml:space="preserve">25,000 earn out shares and </w:t>
      </w:r>
      <w:bookmarkStart w:id="763" w:name="xdx_905_eus-gaap--AntidilutiveSecurities"/>
      <w:bookmarkEnd w:id="763"/>
      <w:r>
        <w:rPr>
          <w:rFonts w:ascii="Times New Roman;Times;Serif" w:hAnsi="Times New Roman;Times;Serif"/>
          <w:b w:val="false"/>
          <w:i w:val="false"/>
          <w:caps w:val="false"/>
          <w:smallCaps w:val="false"/>
          <w:sz w:val="20"/>
        </w:rPr>
        <w:t>8,750 unit purchase options from the calculation of diluted net loss per share with the effect being anti-dilutive.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the Company excluded </w:t>
      </w:r>
      <w:bookmarkStart w:id="764" w:name="xdx_909_eus-gaap--AntidilutiveSecurities"/>
      <w:bookmarkEnd w:id="764"/>
      <w:r>
        <w:rPr>
          <w:rFonts w:ascii="Times New Roman;Times;Serif" w:hAnsi="Times New Roman;Times;Serif"/>
          <w:b w:val="false"/>
          <w:i w:val="false"/>
          <w:caps w:val="false"/>
          <w:smallCaps w:val="false"/>
          <w:sz w:val="20"/>
        </w:rPr>
        <w:t xml:space="preserve">1,728 stock options, </w:t>
      </w:r>
      <w:bookmarkStart w:id="765" w:name="xdx_907_eus-gaap--AntidilutiveSecurities"/>
      <w:bookmarkEnd w:id="765"/>
      <w:r>
        <w:rPr>
          <w:rFonts w:ascii="Times New Roman;Times;Serif" w:hAnsi="Times New Roman;Times;Serif"/>
          <w:b w:val="false"/>
          <w:i w:val="false"/>
          <w:caps w:val="false"/>
          <w:smallCaps w:val="false"/>
          <w:sz w:val="20"/>
        </w:rPr>
        <w:t xml:space="preserve">10,064 convertible debt into common shares, </w:t>
      </w:r>
      <w:bookmarkStart w:id="766" w:name="xdx_903_eus-gaap--AntidilutiveSecurities"/>
      <w:bookmarkEnd w:id="766"/>
      <w:r>
        <w:rPr>
          <w:rFonts w:ascii="Times New Roman;Times;Serif" w:hAnsi="Times New Roman;Times;Serif"/>
          <w:b w:val="false"/>
          <w:i w:val="false"/>
          <w:caps w:val="false"/>
          <w:smallCaps w:val="false"/>
          <w:sz w:val="20"/>
        </w:rPr>
        <w:t xml:space="preserve">19,162 restricted awards, </w:t>
      </w:r>
      <w:bookmarkStart w:id="767" w:name="xdx_903_eus-gaap--AntidilutiveSecurities"/>
      <w:bookmarkEnd w:id="767"/>
      <w:r>
        <w:rPr>
          <w:rFonts w:ascii="Times New Roman;Times;Serif" w:hAnsi="Times New Roman;Times;Serif"/>
          <w:b w:val="false"/>
          <w:i w:val="false"/>
          <w:caps w:val="false"/>
          <w:smallCaps w:val="false"/>
          <w:sz w:val="20"/>
        </w:rPr>
        <w:t xml:space="preserve">19,347 warrants, </w:t>
      </w:r>
      <w:bookmarkStart w:id="768" w:name="xdx_909_eus-gaap--AntidilutiveSecurities"/>
      <w:bookmarkEnd w:id="768"/>
      <w:r>
        <w:rPr>
          <w:rFonts w:ascii="Times New Roman;Times;Serif" w:hAnsi="Times New Roman;Times;Serif"/>
          <w:b w:val="false"/>
          <w:i w:val="false"/>
          <w:caps w:val="false"/>
          <w:smallCaps w:val="false"/>
          <w:sz w:val="20"/>
        </w:rPr>
        <w:t xml:space="preserve">8,630 earn out shares and </w:t>
      </w:r>
      <w:bookmarkStart w:id="769" w:name="xdx_909_eus-gaap--AntidilutiveSecurities"/>
      <w:bookmarkEnd w:id="769"/>
      <w:r>
        <w:rPr>
          <w:rFonts w:ascii="Times New Roman;Times;Serif" w:hAnsi="Times New Roman;Times;Serif"/>
          <w:b w:val="false"/>
          <w:i w:val="false"/>
          <w:caps w:val="false"/>
          <w:smallCaps w:val="false"/>
          <w:sz w:val="20"/>
        </w:rPr>
        <w:t>3,021 unit purchase options from the calculation of diluted net loss per share with the effect being anti-dilutive.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70" w:name="xdx_804_eus-gaap--IncomeTaxDisclosureTex"/>
      <w:bookmarkEnd w:id="770"/>
      <w:r>
        <w:rPr>
          <w:rFonts w:ascii="Times New Roman;Times;Serif" w:hAnsi="Times New Roman;Times;Serif"/>
          <w:b/>
          <w:i w:val="false"/>
          <w:caps w:val="false"/>
          <w:smallCaps w:val="false"/>
          <w:sz w:val="20"/>
        </w:rPr>
        <w:t xml:space="preserve">Note 13. </w:t>
      </w:r>
      <w:bookmarkStart w:id="771" w:name="xdx_823_z6FyPyx1NBof"/>
      <w:bookmarkEnd w:id="771"/>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in accordance with ASC 740, which requires recognition of deferred tax assets and liabilities for the expected future tax consequences of temporary differences and net operating loss (“NOL”) carryforwards.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Company recorded an income tax provision of $</w:t>
      </w:r>
      <w:bookmarkStart w:id="772" w:name="xdx_902_ecustom--IncomeTaxProvision_c202"/>
      <w:bookmarkStart w:id="773" w:name="xdx_903_ecustom--IncomeTaxProvision_c202"/>
      <w:bookmarkEnd w:id="772"/>
      <w:bookmarkEnd w:id="773"/>
      <w:r>
        <w:rPr>
          <w:rFonts w:ascii="Times New Roman;Times;Serif" w:hAnsi="Times New Roman;Times;Serif"/>
          <w:b w:val="false"/>
          <w:i w:val="false"/>
          <w:caps w:val="false"/>
          <w:smallCaps w:val="false"/>
          <w:sz w:val="20"/>
        </w:rPr>
        <w:t>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generated net losses in the current and prior periods and does not expect to incur current income tax expense. Accordingly, no current income tax expense has been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generated during the period have been fully offset by a valuation allowance, resulting in no net deferred tax benefit recognized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Deferred Tax Assets and Valuation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deferred tax assets primarily relate to net operating loss carryforwards and other temporary differences. Due to cumulative losses and uncertainty regarding the timing and extent of future taxable income, the Company has recorded a full valuation allowance against its deferred tax assets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no net deferred tax assets are presented on the 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Net Operating Loss Carryforwards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generated federal and state net operating loss carryforwards. Such carryforwards may be subject to limitations under Section 382 of the Internal Revenue Code due to ownership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completed a formal Section 382 analysis as of the date of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effect of income tax positions only if those positions are more likely than not to be sustained. As of December 31, 2025 and 2024, the Company has not identified any material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Open Tax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remains subject to examination by taxing authorities for all periods in which net operating losses are available for utilization.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Preliminary Assessment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accounting for income taxes is based on currently available information and represents a preliminary assessment under ASC 740. The Company continues to evaluate its deferred tax assets, including net operating loss carryforwards, and related valuation allowance. Adjustments, if any, are not expected to be material to the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774" w:name="xdx_800_eus-gaap--CommitmentsAndContinge"/>
      <w:bookmarkEnd w:id="774"/>
      <w:r>
        <w:rPr>
          <w:rFonts w:ascii="Times New Roman;Times;Serif" w:hAnsi="Times New Roman;Times;Serif"/>
          <w:b/>
          <w:i w:val="false"/>
          <w:caps w:val="false"/>
          <w:smallCaps w:val="false"/>
          <w:sz w:val="20"/>
        </w:rPr>
        <w:t xml:space="preserve">Note 14. </w:t>
      </w:r>
      <w:bookmarkStart w:id="775" w:name="xdx_829_zRxwHpQCX3g9"/>
      <w:bookmarkEnd w:id="775"/>
      <w:r>
        <w:rPr>
          <w:rFonts w:ascii="Times New Roman;Times;Serif" w:hAnsi="Times New Roman;Times;Serif"/>
          <w:b/>
          <w:i w:val="false"/>
          <w:caps w:val="false"/>
          <w:smallCaps w:val="false"/>
          <w:sz w:val="20"/>
        </w:rPr>
        <w:t>Commitments and Contingencies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Indemnification Agreements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indemnification provisions under its agreements with other entities in its ordinary course of business, typically with business partners, customers, landlords, lenders and lessors. Under these provisions, the Company generally indemnifies and holds harmless the indemnified party for losses suffered or incurred by the indemnified party as a result of the Company’s activities or, in some cases, as a result of the indemnified party’s activities under the agreement. The maximum potential amount of future payments the Company could be required to make under these indemnification provisions is unlimited. The Company has not incurred material costs to defend lawsuits or settle claims related to these indemnification agreements. As a result, the Company believes the estimated fair value of these agreements is minimal. Accordingly, the Company has no liabilities recorded for these agreements as of December 31, 2025 and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Digital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2018, the Company commenced a sale offering and issuance (the “LDC Offering”) of </w:t>
      </w:r>
      <w:bookmarkStart w:id="776" w:name="xdx_903_ecustom--RevenueParticipationInt"/>
      <w:bookmarkEnd w:id="776"/>
      <w:r>
        <w:rPr>
          <w:rFonts w:ascii="Times New Roman;Times;Serif" w:hAnsi="Times New Roman;Times;Serif"/>
          <w:b w:val="false"/>
          <w:i w:val="false"/>
          <w:caps w:val="false"/>
          <w:smallCaps w:val="false"/>
          <w:sz w:val="20"/>
        </w:rPr>
        <w:t xml:space="preserve">285 million revenue participation interests (the “Digital Securities”) of the net raffle revenue of LDC Crypto Universal Public Company Limited (“LDC”). The Digital Securities do not have any voting rights, redemption rights, or liquidation rights, nor are they tied in any way to other equity securities of LDC or the Company nor do they otherwise hold any rights that a holder of equity securities of LDC or the Company may have or that a holder of traditional equity securities or capital stock may have. Rather, each of the holders of the Digital Securities has a pro rata right to receive </w:t>
      </w:r>
      <w:bookmarkStart w:id="777" w:name="xdx_90E_ecustom--PercentageOfRaffleReven"/>
      <w:bookmarkEnd w:id="777"/>
      <w:r>
        <w:rPr>
          <w:rFonts w:ascii="Times New Roman;Times;Serif" w:hAnsi="Times New Roman;Times;Serif"/>
          <w:b w:val="false"/>
          <w:i w:val="false"/>
          <w:caps w:val="false"/>
          <w:smallCaps w:val="false"/>
          <w:sz w:val="20"/>
        </w:rPr>
        <w:t>7% of the net raffle revenue. If the net raffle revenue is zero for a given period, holders of the Digital Securities are not eligible to receive any cash distributions from any raffle sweepstakes of LDC for such period. For the years ended December 31, 2025 and December 31, 2024, the company did not incur any obligations to the holders of the outstanding Digital Securities. For the year ended December 31, 2021, the Company incurred an obligation to pay an aggregate amount of approximately $</w:t>
      </w:r>
      <w:bookmarkStart w:id="778" w:name="xdx_904_eus-gaap--ContractualObligation_"/>
      <w:bookmarkEnd w:id="778"/>
      <w:r>
        <w:rPr>
          <w:rFonts w:ascii="Times New Roman;Times;Serif" w:hAnsi="Times New Roman;Times;Serif"/>
          <w:b w:val="false"/>
          <w:i w:val="false"/>
          <w:caps w:val="false"/>
          <w:smallCaps w:val="false"/>
          <w:sz w:val="20"/>
        </w:rPr>
        <w:t>5,632 to holders of the outstanding Digital Securities. The Company did not satisfy any of those obligations during the years ended December 31, 2021 through December 31, 2025.</w:t>
      </w:r>
    </w:p>
    <w:p>
      <w:pPr>
        <w:pStyle w:val="TextBody"/>
        <w:bidi w:val="0"/>
        <w:spacing w:before="0" w:after="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Leases and Rent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2024, the company moved its headquarters to Fort Worth, Texas under a membership agreement with monthly cost of $</w:t>
      </w:r>
      <w:bookmarkStart w:id="779" w:name="xdx_90F_eus-gaap--LeaseCost_c20240901__2"/>
      <w:bookmarkEnd w:id="779"/>
      <w:r>
        <w:rPr>
          <w:rFonts w:ascii="Times New Roman;Times;Serif" w:hAnsi="Times New Roman;Times;Serif"/>
          <w:b w:val="false"/>
          <w:i w:val="false"/>
          <w:caps w:val="false"/>
          <w:smallCaps w:val="false"/>
          <w:sz w:val="20"/>
        </w:rPr>
        <w:t>154. The Company also leased a campus in Boca Raton Florida for $</w:t>
      </w:r>
      <w:bookmarkStart w:id="780" w:name="xdx_90C_eus-gaap--PaymentsForRent_c20250"/>
      <w:bookmarkEnd w:id="780"/>
      <w:r>
        <w:rPr>
          <w:rFonts w:ascii="Times New Roman;Times;Serif" w:hAnsi="Times New Roman;Times;Serif"/>
          <w:b w:val="false"/>
          <w:i w:val="false"/>
          <w:caps w:val="false"/>
          <w:smallCaps w:val="false"/>
          <w:sz w:val="20"/>
        </w:rPr>
        <w:t xml:space="preserve">25,000 per month under a 12 month lease agreement that commenced on August 1, 2024 and continued thru </w:t>
      </w:r>
      <w:bookmarkStart w:id="781" w:name="xdx_90D_eus-gaap--LeaseExpirationDate1_c"/>
      <w:bookmarkEnd w:id="781"/>
      <w:r>
        <w:rPr>
          <w:rFonts w:ascii="Times New Roman;Times;Serif" w:hAnsi="Times New Roman;Times;Serif"/>
          <w:b w:val="false"/>
          <w:i w:val="false"/>
          <w:caps w:val="false"/>
          <w:smallCaps w:val="false"/>
          <w:sz w:val="20"/>
        </w:rPr>
        <w:t>July 31, 2025. For the twelve months ended December 31, 2025 and 2024 rent expense was $</w:t>
      </w:r>
      <w:bookmarkStart w:id="782" w:name="xdx_901_eus-gaap--PaymentsForRent_c20250"/>
      <w:bookmarkEnd w:id="782"/>
      <w:r>
        <w:rPr>
          <w:rFonts w:ascii="Times New Roman;Times;Serif" w:hAnsi="Times New Roman;Times;Serif"/>
          <w:b w:val="false"/>
          <w:i w:val="false"/>
          <w:caps w:val="false"/>
          <w:smallCaps w:val="false"/>
          <w:sz w:val="20"/>
        </w:rPr>
        <w:t>346,382 and $</w:t>
      </w:r>
      <w:bookmarkStart w:id="783" w:name="xdx_903_eus-gaap--PaymentsForRent_c20240"/>
      <w:bookmarkEnd w:id="783"/>
      <w:r>
        <w:rPr>
          <w:rFonts w:ascii="Times New Roman;Times;Serif" w:hAnsi="Times New Roman;Times;Serif"/>
          <w:b w:val="false"/>
          <w:i w:val="false"/>
          <w:caps w:val="false"/>
          <w:smallCaps w:val="false"/>
          <w:sz w:val="20"/>
        </w:rPr>
        <w:t>252,406,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784" w:name="xdx_894_esrt--ContractualObligationFisca"/>
      <w:bookmarkEnd w:id="784"/>
      <w:r>
        <w:rPr>
          <w:rFonts w:ascii="Times New Roman;Times;Serif" w:hAnsi="Times New Roman;Times;Serif"/>
          <w:b w:val="false"/>
          <w:i w:val="false"/>
          <w:caps w:val="false"/>
          <w:smallCaps w:val="false"/>
          <w:sz w:val="20"/>
        </w:rPr>
        <w:t>As of December 31, 2025, future minimum rent payments due under non-cancellable leases are as follows:</w:t>
      </w:r>
    </w:p>
    <w:p>
      <w:pPr>
        <w:pStyle w:val="TextBody"/>
        <w:bidi w:val="0"/>
        <w:spacing w:before="0" w:after="0"/>
        <w:jc w:val="left"/>
        <w:rPr>
          <w:rFonts w:ascii="Times New Roman;Times;Serif" w:hAnsi="Times New Roman;Times;Serif"/>
          <w:b w:val="false"/>
          <w:i w:val="false"/>
          <w:caps w:val="false"/>
          <w:smallCaps w:val="false"/>
          <w:sz w:val="20"/>
        </w:rPr>
      </w:pPr>
      <w:bookmarkStart w:id="785" w:name="xdx_8BD_zVm9SB9v6Xmi"/>
      <w:bookmarkEnd w:id="785"/>
      <w:r>
        <w:rPr>
          <w:rFonts w:ascii="Times New Roman;Times;Serif" w:hAnsi="Times New Roman;Times;Serif"/>
          <w:b w:val="false"/>
          <w:i w:val="false"/>
          <w:caps w:val="false"/>
          <w:smallCaps w:val="false"/>
          <w:sz w:val="20"/>
        </w:rPr>
        <w:t>Schedule of Future Minimum Rent Payments Due Under Non-Cancellable Leases </w:t>
      </w:r>
    </w:p>
    <w:tbl>
      <w:tblPr>
        <w:tblW w:w="3835" w:type="dxa"/>
        <w:jc w:val="left"/>
        <w:tblInd w:w="0" w:type="dxa"/>
        <w:tblLayout w:type="fixed"/>
        <w:tblCellMar>
          <w:top w:w="0" w:type="dxa"/>
          <w:left w:w="0" w:type="dxa"/>
          <w:bottom w:w="28" w:type="dxa"/>
          <w:right w:w="0" w:type="dxa"/>
        </w:tblCellMar>
      </w:tblPr>
      <w:tblGrid>
        <w:gridCol w:w="2840"/>
        <w:gridCol w:w="60"/>
        <w:gridCol w:w="512"/>
        <w:gridCol w:w="348"/>
        <w:gridCol w:w="75"/>
      </w:tblGrid>
      <w:tr>
        <w:trPr/>
        <w:tc>
          <w:tcPr>
            <w:tcW w:w="2840" w:type="dxa"/>
            <w:tcBorders>
              <w:bottom w:val="single" w:sz="8" w:space="0" w:color="000000"/>
            </w:tcBorders>
            <w:vAlign w:val="center"/>
          </w:tcPr>
          <w:p>
            <w:pPr>
              <w:pStyle w:val="TableContents"/>
              <w:bidi w:val="0"/>
              <w:spacing w:before="0" w:after="283"/>
              <w:jc w:val="left"/>
              <w:rPr>
                <w:b/>
              </w:rPr>
            </w:pPr>
            <w:r>
              <w:rPr>
                <w:b/>
              </w:rPr>
              <w:t>Years ending December 31,</w:t>
            </w:r>
          </w:p>
        </w:tc>
        <w:tc>
          <w:tcPr>
            <w:tcW w:w="60" w:type="dxa"/>
            <w:tcBorders/>
            <w:tcMar>
              <w:bottom w:w="0" w:type="dxa"/>
            </w:tcMar>
            <w:vAlign w:val="center"/>
          </w:tcPr>
          <w:p>
            <w:pPr>
              <w:pStyle w:val="TableContents"/>
              <w:bidi w:val="0"/>
              <w:spacing w:before="0" w:after="283"/>
              <w:jc w:val="left"/>
              <w:rPr/>
            </w:pPr>
            <w:r>
              <w:rPr/>
              <w:t> </w:t>
            </w:r>
            <w:bookmarkStart w:id="786" w:name="xdx_495_20251231_zL3kRaBKXjch"/>
            <w:bookmarkEnd w:id="786"/>
          </w:p>
        </w:tc>
        <w:tc>
          <w:tcPr>
            <w:tcW w:w="860" w:type="dxa"/>
            <w:gridSpan w:val="2"/>
            <w:tcBorders>
              <w:bottom w:val="single" w:sz="8"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bookmarkStart w:id="787" w:name="xdx_401_eus-gaap--LesseeOperatingLeaseLi"/>
            <w:bookmarkEnd w:id="787"/>
          </w:p>
        </w:tc>
      </w:tr>
      <w:tr>
        <w:trPr/>
        <w:tc>
          <w:tcPr>
            <w:tcW w:w="284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2"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788" w:name="xdx_407_eus-gaap--LesseeOperatingLeaseLi"/>
            <w:bookmarkEnd w:id="788"/>
          </w:p>
        </w:tc>
      </w:tr>
      <w:tr>
        <w:trPr/>
        <w:tc>
          <w:tcPr>
            <w:tcW w:w="2840"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2" w:type="dxa"/>
            <w:tcBorders>
              <w:bottom w:val="single" w:sz="8" w:space="0" w:color="000000"/>
            </w:tcBorders>
            <w:shd w:fill="FFFFFF" w:val="clear"/>
            <w:vAlign w:val="center"/>
          </w:tcPr>
          <w:p>
            <w:pPr>
              <w:pStyle w:val="TableContents"/>
              <w:bidi w:val="0"/>
              <w:spacing w:before="0" w:after="283"/>
              <w:jc w:val="left"/>
              <w:rPr/>
            </w:pPr>
            <w:r>
              <w:rPr/>
              <w:t> </w:t>
            </w:r>
          </w:p>
        </w:tc>
        <w:tc>
          <w:tcPr>
            <w:tcW w:w="348"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789" w:name="xdx_40A_eus-gaap--LesseeOperatingLeaseLi"/>
            <w:bookmarkEnd w:id="789"/>
          </w:p>
        </w:tc>
      </w:tr>
      <w:tr>
        <w:trPr/>
        <w:tc>
          <w:tcPr>
            <w:tcW w:w="28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2" w:type="dxa"/>
            <w:tcBorders>
              <w:bottom w:val="single" w:sz="8" w:space="0" w:color="000000"/>
            </w:tcBorders>
            <w:shd w:fill="CCEEFF" w:val="clear"/>
            <w:vAlign w:val="center"/>
          </w:tcPr>
          <w:p>
            <w:pPr>
              <w:pStyle w:val="TableContents"/>
              <w:bidi w:val="0"/>
              <w:spacing w:before="0" w:after="283"/>
              <w:jc w:val="left"/>
              <w:rPr/>
            </w:pPr>
            <w:r>
              <w:rPr/>
              <w:t>$</w:t>
            </w:r>
          </w:p>
        </w:tc>
        <w:tc>
          <w:tcPr>
            <w:tcW w:w="348" w:type="dxa"/>
            <w:tcBorders>
              <w:bottom w:val="single" w:sz="8"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790" w:name="xdx_8A4_zYLS65Y5HQG6"/>
      <w:bookmarkEnd w:id="790"/>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 and Other Loss Contingencies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there were no pending proceedings that are deemed to be materially detrimental. The Company is a party to legal proceedings in the ordinary course of its business. The Company believes that the nature of these proceedings is typical for a company of its size and scope. See </w:t>
      </w:r>
      <w:r>
        <w:rPr>
          <w:rFonts w:ascii="Times New Roman;Times;Serif" w:hAnsi="Times New Roman;Times;Serif"/>
          <w:b w:val="false"/>
          <w:i/>
          <w:caps w:val="false"/>
          <w:smallCaps w:val="false"/>
          <w:sz w:val="20"/>
        </w:rPr>
        <w:t>Part II, Item 1</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791" w:name="xdx_801_eus-gaap--RelatedPartyTransactio"/>
      <w:bookmarkEnd w:id="791"/>
      <w:r>
        <w:rPr>
          <w:rFonts w:ascii="Times New Roman;Times;Serif" w:hAnsi="Times New Roman;Times;Serif"/>
          <w:b/>
          <w:i w:val="false"/>
          <w:caps w:val="false"/>
          <w:smallCaps w:val="false"/>
          <w:sz w:val="20"/>
        </w:rPr>
        <w:t xml:space="preserve">Note 15. </w:t>
      </w:r>
      <w:bookmarkStart w:id="792" w:name="xdx_82F_znRgeRAXWt5a"/>
      <w:bookmarkEnd w:id="792"/>
      <w:r>
        <w:rPr>
          <w:rFonts w:ascii="Times New Roman;Times;Serif" w:hAnsi="Times New Roman;Times;Serif"/>
          <w:b/>
          <w:i w:val="false"/>
          <w:caps w:val="false"/>
          <w:smallCaps w:val="false"/>
          <w:sz w:val="20"/>
        </w:rPr>
        <w:t>Related Party Transactions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from time to time entered into transactions with related parties. The Company regularly reviews these transactions; however, the Company’s results of operations may have been different if these transactions were conducted with nonrelated parties.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2020, the Company entered into borrowing arrangements with the individual founders to provide operating cash flow for the Company. The Company paid $</w:t>
      </w:r>
      <w:bookmarkStart w:id="793" w:name="xdx_90D_eus-gaap--RepaymentsOfRelatedPar"/>
      <w:bookmarkEnd w:id="793"/>
      <w:r>
        <w:rPr>
          <w:rFonts w:ascii="Times New Roman;Times;Serif" w:hAnsi="Times New Roman;Times;Serif"/>
          <w:b w:val="false"/>
          <w:i w:val="false"/>
          <w:caps w:val="false"/>
          <w:smallCaps w:val="false"/>
          <w:sz w:val="20"/>
        </w:rPr>
        <w:t>4,700 during 2021 and the outstanding balance was $</w:t>
      </w:r>
      <w:bookmarkStart w:id="794" w:name="xdx_901_eus-gaap--LoansPayable_iI_c20241"/>
      <w:bookmarkStart w:id="795" w:name="xdx_901_eus-gaap--LoansPayable_iI_c20251"/>
      <w:bookmarkEnd w:id="794"/>
      <w:bookmarkEnd w:id="795"/>
      <w:r>
        <w:rPr>
          <w:rFonts w:ascii="Times New Roman;Times;Serif" w:hAnsi="Times New Roman;Times;Serif"/>
          <w:b w:val="false"/>
          <w:i w:val="false"/>
          <w:caps w:val="false"/>
          <w:smallCaps w:val="false"/>
          <w:sz w:val="20"/>
        </w:rPr>
        <w:t>13,000 on December 31, 2025 and December 31,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Gooding, appointed as a director of the Company on August 10, 2023, is an attorney licensed in the United Kingdom. He previously provided limited consulting services to the Company’s outside general counsel on select U.K. legal matters that could potentially impact the Company. These consulting services began in February 2024, and Mr. Gooding was compensated separately from his director compensation, receiving a total of $</w:t>
      </w:r>
      <w:bookmarkStart w:id="796" w:name="xdx_905_eus-gaap--LegalFees_c20240101__2"/>
      <w:bookmarkEnd w:id="796"/>
      <w:r>
        <w:rPr>
          <w:rFonts w:ascii="Times New Roman;Times;Serif" w:hAnsi="Times New Roman;Times;Serif"/>
          <w:b w:val="false"/>
          <w:i w:val="false"/>
          <w:caps w:val="false"/>
          <w:smallCaps w:val="false"/>
          <w:sz w:val="20"/>
        </w:rPr>
        <w:t>264,000 in 2024. To maintain his independence as a director, Mr. Gooding ceased providing consulting services to the Company’s outside general counsel as of June 30, 2025. His compensation for consulting services from January 1, 2025 to June 30, 2025 was $</w:t>
      </w:r>
      <w:bookmarkStart w:id="797" w:name="xdx_906_eus-gaap--OtherExpenses_c2025070"/>
      <w:bookmarkEnd w:id="797"/>
      <w:r>
        <w:rPr>
          <w:rFonts w:ascii="Times New Roman;Times;Serif" w:hAnsi="Times New Roman;Times;Serif"/>
          <w:b w:val="false"/>
          <w:i w:val="false"/>
          <w:caps w:val="false"/>
          <w:smallCaps w:val="false"/>
          <w:sz w:val="20"/>
          <w:shd w:fill="FFFFFF" w:val="clear"/>
        </w:rPr>
        <w:t>144,000. Other than matters where Mr. Gooding is a named defendant alongside the Company, he provides opinions on all Board matters solely in his capacity as an independent director, without additional compensation from the Company or its outside general counsel.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September 30, 2024, the Company entered into a borrowing arrangement with Robert Stubblefield, the Company’s Chief Financial Officer, to provide funding for certain operating expenses of the Company. At September 30, 2024 the Loan amount was $</w:t>
      </w:r>
      <w:bookmarkStart w:id="798" w:name="xdx_90F_eus-gaap--OtherLoansPayableCurre"/>
      <w:bookmarkEnd w:id="798"/>
      <w:r>
        <w:rPr>
          <w:rFonts w:ascii="Times New Roman;Times;Serif" w:hAnsi="Times New Roman;Times;Serif"/>
          <w:b w:val="false"/>
          <w:i w:val="false"/>
          <w:caps w:val="false"/>
          <w:smallCaps w:val="false"/>
          <w:sz w:val="20"/>
        </w:rPr>
        <w:t>57,682. Additional amounts were provided by Mr. Stubblefield during the quarter ended December 31, 2024 and the loan amount at year end was $</w:t>
      </w:r>
      <w:bookmarkStart w:id="799" w:name="xdx_90A_eus-gaap--OtherLoansPayableCurre"/>
      <w:bookmarkEnd w:id="799"/>
      <w:r>
        <w:rPr>
          <w:rFonts w:ascii="Times New Roman;Times;Serif" w:hAnsi="Times New Roman;Times;Serif"/>
          <w:b w:val="false"/>
          <w:i w:val="false"/>
          <w:caps w:val="false"/>
          <w:smallCaps w:val="false"/>
          <w:sz w:val="20"/>
        </w:rPr>
        <w:t>67,941. The Loan was issued at zero percent interest. In February 2025, the Company granted shares of common stock which repaid the loan in full.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Subsequent Events regarding certain convertible promissory notes issued to Robert Stubblefield, CFO and Interim CEO &amp; President and to Gregory Potts, COO in January of 2026 for unpaid compensation still owed to them from 2023 and 2024. As officers of the Company, they are related parties.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800" w:name="xdx_809_eus-gaap--SubsequentEventsTextBl"/>
      <w:bookmarkEnd w:id="800"/>
      <w:r>
        <w:rPr>
          <w:rFonts w:ascii="Times New Roman;Times;Serif" w:hAnsi="Times New Roman;Times;Serif"/>
          <w:b/>
          <w:i w:val="false"/>
          <w:caps w:val="false"/>
          <w:smallCaps w:val="false"/>
          <w:sz w:val="20"/>
        </w:rPr>
        <w:t xml:space="preserve">Note 16. </w:t>
      </w:r>
      <w:bookmarkStart w:id="801" w:name="xdx_828_zObmQPblYYA9"/>
      <w:bookmarkEnd w:id="801"/>
      <w:r>
        <w:rPr>
          <w:rFonts w:ascii="Times New Roman;Times;Serif" w:hAnsi="Times New Roman;Times;Serif"/>
          <w:b/>
          <w:i w:val="false"/>
          <w:caps w:val="false"/>
          <w:smallCaps w:val="false"/>
          <w:sz w:val="20"/>
        </w:rPr>
        <w:t>Subsequent Events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 has evaluated these events in accordance with ASC 855, Subsequent Events, and determined that they represent non-recognized subsequent events, as it relates to conditions arising after the balance sheet date. Accordingly, no adjustments to the consolidated financial statements were required.</w:t>
      </w:r>
    </w:p>
    <w:p>
      <w:pPr>
        <w:pStyle w:val="TextBody"/>
        <w:bidi w:val="0"/>
        <w:spacing w:before="0" w:after="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Transaction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15, 2026, the Company entered into certain convertible promissory notes with Robert Stubblefield, CFO and Interim CEO &amp; President and to Greg Potts, COO, for unpaid compensation still owed to Messrs. Stubblefield and Potts from 2023 and 2024. As officers of the Company, they are related parties. The maturity date of the convertible promissory notes is January 15, 2027. Interest at a rate of </w:t>
      </w:r>
      <w:bookmarkStart w:id="802" w:name="xdx_907_eus-gaap--DebtInstrumentInterest"/>
      <w:bookmarkEnd w:id="802"/>
      <w:r>
        <w:rPr>
          <w:rFonts w:ascii="Times New Roman;Times;Serif" w:hAnsi="Times New Roman;Times;Serif"/>
          <w:b w:val="false"/>
          <w:i w:val="false"/>
          <w:caps w:val="false"/>
          <w:smallCaps w:val="false"/>
          <w:sz w:val="20"/>
        </w:rPr>
        <w:t>10% per annum shall accrue on the principal amount of each note until the maturity date. The principal amount is: $</w:t>
      </w:r>
      <w:bookmarkStart w:id="803" w:name="xdx_90C_eus-gaap--DebtInstrumentFaceAmou"/>
      <w:bookmarkEnd w:id="803"/>
      <w:r>
        <w:rPr>
          <w:rFonts w:ascii="Times New Roman;Times;Serif" w:hAnsi="Times New Roman;Times;Serif"/>
          <w:b w:val="false"/>
          <w:i w:val="false"/>
          <w:caps w:val="false"/>
          <w:smallCaps w:val="false"/>
          <w:sz w:val="20"/>
        </w:rPr>
        <w:t>291,485 and $</w:t>
      </w:r>
      <w:bookmarkStart w:id="804" w:name="xdx_902_eus-gaap--DebtInstrumentFaceAmou"/>
      <w:bookmarkEnd w:id="804"/>
      <w:r>
        <w:rPr>
          <w:rFonts w:ascii="Times New Roman;Times;Serif" w:hAnsi="Times New Roman;Times;Serif"/>
          <w:b w:val="false"/>
          <w:i w:val="false"/>
          <w:caps w:val="false"/>
          <w:smallCaps w:val="false"/>
          <w:sz w:val="20"/>
        </w:rPr>
        <w:t>258,448, respectively for Messrs. Stubblefield and Potts. As of the date of this report, neither Messrs. Stubblefield or Potts have converted any portion of their notes.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Convertible Note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15, 2026, the Company entered into a convertible promissory note with the Amar Ali Law, PLLC for outstanding legal fees provided to the Company. The maturity date of the convertible promissory note is </w:t>
      </w:r>
      <w:bookmarkStart w:id="805" w:name="xdx_906_eus-gaap--DebtInstrumentMaturity"/>
      <w:bookmarkEnd w:id="805"/>
      <w:r>
        <w:rPr>
          <w:rFonts w:ascii="Times New Roman;Times;Serif" w:hAnsi="Times New Roman;Times;Serif"/>
          <w:b w:val="false"/>
          <w:i w:val="false"/>
          <w:caps w:val="false"/>
          <w:smallCaps w:val="false"/>
          <w:sz w:val="20"/>
        </w:rPr>
        <w:t xml:space="preserve">January 15, 2027. Interest at a rate of </w:t>
      </w:r>
      <w:bookmarkStart w:id="806" w:name="xdx_90B_eus-gaap--DebtInstrumentInterest"/>
      <w:bookmarkEnd w:id="806"/>
      <w:r>
        <w:rPr>
          <w:rFonts w:ascii="Times New Roman;Times;Serif" w:hAnsi="Times New Roman;Times;Serif"/>
          <w:b w:val="false"/>
          <w:i w:val="false"/>
          <w:caps w:val="false"/>
          <w:smallCaps w:val="false"/>
          <w:sz w:val="20"/>
        </w:rPr>
        <w:t>10% per annum shall accrue on the principal amount of $</w:t>
      </w:r>
      <w:bookmarkStart w:id="807" w:name="xdx_906_eus-gaap--DebtInstrumentFaceAmou"/>
      <w:bookmarkEnd w:id="807"/>
      <w:r>
        <w:rPr>
          <w:rFonts w:ascii="Times New Roman;Times;Serif" w:hAnsi="Times New Roman;Times;Serif"/>
          <w:b w:val="false"/>
          <w:i w:val="false"/>
          <w:caps w:val="false"/>
          <w:smallCaps w:val="false"/>
          <w:sz w:val="20"/>
        </w:rPr>
        <w:t>1,445,361 for the note until the maturity date. As of the date of this report, no portion of the note has been converted.</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Markets Activity with Dawson James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16, 2026, the Company entered into a placement agency agreement with Dawson James Securities, Inc., pursuant to which Dawson James agreed to act as the Company’s exclusive placement agent, on a reasonable best-efforts basis, in connection with a registered direct offering of </w:t>
      </w:r>
      <w:bookmarkStart w:id="808" w:name="xdx_903_eus-gaap--StockIssuedDuringPerio"/>
      <w:bookmarkEnd w:id="808"/>
      <w:r>
        <w:rPr>
          <w:rFonts w:ascii="Times New Roman;Times;Serif" w:hAnsi="Times New Roman;Times;Serif"/>
          <w:b w:val="false"/>
          <w:i w:val="false"/>
          <w:caps w:val="false"/>
          <w:smallCaps w:val="false"/>
          <w:sz w:val="20"/>
        </w:rPr>
        <w:t>2,449,857 shares of the Company’s common stock at a purchase price of $</w:t>
      </w:r>
      <w:bookmarkStart w:id="809" w:name="xdx_908_eus-gaap--SharePrice_iI_pid_c202"/>
      <w:bookmarkEnd w:id="809"/>
      <w:r>
        <w:rPr>
          <w:rFonts w:ascii="Times New Roman;Times;Serif" w:hAnsi="Times New Roman;Times;Serif"/>
          <w:b w:val="false"/>
          <w:i w:val="false"/>
          <w:caps w:val="false"/>
          <w:smallCaps w:val="false"/>
          <w:sz w:val="20"/>
        </w:rPr>
        <w:t>0.70 per share. The offering closed on January 20, 2026 and resulted in gross proceeds of approximately $</w:t>
      </w:r>
      <w:bookmarkStart w:id="810" w:name="xdx_90B_eus-gaap--StockIssuedDuringPerio"/>
      <w:bookmarkEnd w:id="810"/>
      <w:r>
        <w:rPr>
          <w:rFonts w:ascii="Times New Roman;Times;Serif" w:hAnsi="Times New Roman;Times;Serif"/>
          <w:b w:val="false"/>
          <w:i w:val="false"/>
          <w:caps w:val="false"/>
          <w:smallCaps w:val="false"/>
          <w:sz w:val="20"/>
        </w:rPr>
        <w:t>1.7 million, before deducting placement agent fees and offering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in the foregoing offerings were issued pursuant to the Company’s effective shelf registration statement on Form S-3 (File No. 333-291505), which was declared effective by the U.S. Securities and Exchange Commission on November 26,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the Company entered into a Securities Purchase Agreement with certain institutional investors pursuant to which the Company agreed to issue unsecured convertible promissory notes in an aggregate principal amount of up to approximately $</w:t>
      </w:r>
      <w:bookmarkStart w:id="811" w:name="xdx_90F_eus-gaap--DebtInstrumentFaceAmou"/>
      <w:bookmarkEnd w:id="811"/>
      <w:r>
        <w:rPr>
          <w:rFonts w:ascii="Times New Roman;Times;Serif" w:hAnsi="Times New Roman;Times;Serif"/>
          <w:b w:val="false"/>
          <w:i w:val="false"/>
          <w:caps w:val="false"/>
          <w:smallCaps w:val="false"/>
          <w:sz w:val="20"/>
        </w:rPr>
        <w:t>11.8 million in a private placement exempt from registration under Section 4(a)(2) of the Securities Act of 1933, as amended, and Rule 506 of Regulation D promulgated thereunder. The notes are issuable in multiple tranches, including an initial tranche of approximately $</w:t>
      </w:r>
      <w:bookmarkStart w:id="812" w:name="xdx_90A_eus-gaap--DebtInstrumentFaceAmou"/>
      <w:bookmarkEnd w:id="812"/>
      <w:r>
        <w:rPr>
          <w:rFonts w:ascii="Times New Roman;Times;Serif" w:hAnsi="Times New Roman;Times;Serif"/>
          <w:b w:val="false"/>
          <w:i w:val="false"/>
          <w:caps w:val="false"/>
          <w:smallCaps w:val="false"/>
          <w:sz w:val="20"/>
        </w:rPr>
        <w:t>3.5 million funded upon execution, with additional tranches subject to specified conditions, including the filing and effectiveness of a resale registration statement and, for subsequent tranches, based on mutual agreement of the parties through December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notes were issued at a </w:t>
      </w:r>
      <w:bookmarkStart w:id="813" w:name="xdx_908_ecustom--DebtInstrumentInterestR"/>
      <w:bookmarkEnd w:id="813"/>
      <w:r>
        <w:rPr>
          <w:rFonts w:ascii="Times New Roman;Times;Serif" w:hAnsi="Times New Roman;Times;Serif"/>
          <w:b w:val="false"/>
          <w:i w:val="false"/>
          <w:caps w:val="false"/>
          <w:smallCaps w:val="false"/>
          <w:sz w:val="20"/>
        </w:rPr>
        <w:t xml:space="preserve">15% original issue discount, bear interest at </w:t>
      </w:r>
      <w:bookmarkStart w:id="814" w:name="xdx_903_eus-gaap--DebtInstrumentInterest"/>
      <w:bookmarkEnd w:id="814"/>
      <w:r>
        <w:rPr>
          <w:rFonts w:ascii="Times New Roman;Times;Serif" w:hAnsi="Times New Roman;Times;Serif"/>
          <w:b w:val="false"/>
          <w:i w:val="false"/>
          <w:caps w:val="false"/>
          <w:smallCaps w:val="false"/>
          <w:sz w:val="20"/>
        </w:rPr>
        <w:t xml:space="preserve">12% per annum, and mature 24 months from issuance. The notes are convertible into shares of the Company’s common stock at a conversion price based on a discount to market price, subject to a floor price, and include customary terms, including events of default and a beneficial ownership limitation initially set at </w:t>
      </w:r>
      <w:bookmarkStart w:id="815" w:name="xdx_90C_eus-gaap--DebtInstrumentConverti"/>
      <w:bookmarkEnd w:id="815"/>
      <w:r>
        <w:rPr>
          <w:rFonts w:ascii="Times New Roman;Times;Serif" w:hAnsi="Times New Roman;Times;Serif"/>
          <w:b w:val="false"/>
          <w:i w:val="false"/>
          <w:caps w:val="false"/>
          <w:smallCaps w:val="false"/>
          <w:sz w:val="20"/>
        </w:rPr>
        <w:t xml:space="preserve">4.99%, which may be increased to </w:t>
      </w:r>
      <w:bookmarkStart w:id="816" w:name="xdx_90B_eus-gaap--DebtInstrumentConverti"/>
      <w:bookmarkEnd w:id="816"/>
      <w:r>
        <w:rPr>
          <w:rFonts w:ascii="Times New Roman;Times;Serif" w:hAnsi="Times New Roman;Times;Serif"/>
          <w:b w:val="false"/>
          <w:i w:val="false"/>
          <w:caps w:val="false"/>
          <w:smallCaps w:val="false"/>
          <w:sz w:val="20"/>
        </w:rPr>
        <w:t>9.99% upon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foregoing arrangement, the Company entered into placement agency agreements with Dawson James and agreed to pay customary placement fees and expenses. The Company also entered into a registration rights agreement in connection with the convertible note financing requiring the filing and effectiveness of a resale registration statement covering the shares issuable upon conversion of the notes within specified time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UCIL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2026, the Company terminated its financing arrangement with United Capital Investments London Limited (“UCIL”) originally entered into on July 23, 2023, subsequently amended and restated on August 8, 2023, later amended on August 18, 2023, and finally amended and restated on February 16, 2024. UCIL has informed the Company that it is considering legal action to preserve is rights under the financing arrangement, however, as of the date of this filing, the Company has not received notice of any action nor has UCIL provided the requisite accounting information and evidence to substantiate its claims.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 Complaint Relating to Legacy Conduct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2026, the U.S. Securities and Exchange Commission (the “SEC”) filed a civil complaint (the “Complaint”) in the United States District Court for the Southern District of New York naming the Company, certain former senior executive officers of the Company, and the former Chief Executive Officer of Trident Acquisitions Corp. as defendants.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Complaint alleges violations of certain federal securities laws and seeks injunctive relief, disgorgement, civil monetary penalties, and other equitable remedies. The allegations relate to conduct occurring primarily between 2020 and mid-2022, including periods prior to and shortly following the Company’s business combination with Trident Acquisitions Corp.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individuals identified in the Complaint who previously served as executive officers are no longer employed by the Company and have no ongoing affiliation or involvement with the Company. Since mid-2022, the Company has implemented significant changes in executive leadership, governance, and internal controls. The current management team was not involved in the conduct alleged in the Complaint.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cooperated with the SEC’s investigation and intends to continue its cooperation. While the Company believes the claims asserted against it are without merit and is prepared to defend the matter, it has engaged in non-binding discussions with the SEC regarding a potential resolution. Although no assurances can be provided, the Company believes the matter is nearing resolution and does not currently expect the outcome to have a material adverse effect on its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disclosure does not constitute an admission of liability by the Company or any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Name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23, 2026, the Company announced that it had changed its corporate name from </w:t>
      </w:r>
      <w:r>
        <w:rPr>
          <w:rFonts w:ascii="Times New Roman;Times;Serif" w:hAnsi="Times New Roman;Times;Serif"/>
          <w:b w:val="false"/>
          <w:i/>
          <w:caps w:val="false"/>
          <w:smallCaps w:val="false"/>
          <w:sz w:val="20"/>
        </w:rPr>
        <w:t>Lottery.com Inc.</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caps w:val="false"/>
          <w:smallCaps w:val="false"/>
          <w:sz w:val="20"/>
        </w:rPr>
        <w:t>Sports Entertainment Gaming Global Corporation</w:t>
      </w:r>
      <w:r>
        <w:rPr>
          <w:rFonts w:ascii="Times New Roman;Times;Serif" w:hAnsi="Times New Roman;Times;Serif"/>
          <w:b w:val="false"/>
          <w:i w:val="false"/>
          <w:caps w:val="false"/>
          <w:smallCaps w:val="false"/>
          <w:sz w:val="20"/>
        </w:rPr>
        <w:t xml:space="preserve"> to better reflect its strategic focus on the convergence of sports, entertainment, and gaming. The name change became effective on January 27, 2026, following the filing of an amendment to the Company’s certificate of incorporation with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name change, the Company began operating under the brand “SEGG Media” and updated its corporate identity, including its website and marketing materials. The Company’s common stock continues to trade on the Nasdaq Capital Market under the ticker symbol “SEGG,” and the name change did not affect the Company’s capital structure, trading symbol, or shareholder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Securities Purchase Agreement with Evergreen Capital Management, LLC</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2025, the Company entered into a Securities Purchase Agreement with Evergreen Capital Management, LLC (“Evergreen”), pursuant to which the Company issued a senior secured convertible promissory note with an aggregate principal amount of $</w:t>
      </w:r>
      <w:bookmarkStart w:id="817" w:name="xdx_901_eus-gaap--DebtInstrumentFaceAmou"/>
      <w:bookmarkEnd w:id="817"/>
      <w:r>
        <w:rPr>
          <w:rFonts w:ascii="Times New Roman;Times;Serif" w:hAnsi="Times New Roman;Times;Serif"/>
          <w:b w:val="false"/>
          <w:i w:val="false"/>
          <w:caps w:val="false"/>
          <w:smallCaps w:val="false"/>
          <w:sz w:val="20"/>
        </w:rPr>
        <w:t>2.875 million. The note included an original issue discount of $</w:t>
      </w:r>
      <w:bookmarkStart w:id="818" w:name="xdx_907_eus-gaap--DebtInstrumentUnamorti"/>
      <w:bookmarkEnd w:id="818"/>
      <w:r>
        <w:rPr>
          <w:rFonts w:ascii="Times New Roman;Times;Serif" w:hAnsi="Times New Roman;Times;Serif"/>
          <w:b w:val="false"/>
          <w:i w:val="false"/>
          <w:caps w:val="false"/>
          <w:smallCaps w:val="false"/>
          <w:sz w:val="20"/>
        </w:rPr>
        <w:t>0.375 million, resulting in net proceeds of $</w:t>
      </w:r>
      <w:bookmarkStart w:id="819" w:name="xdx_906_ecustom--ProceedsFromConvertible"/>
      <w:bookmarkEnd w:id="819"/>
      <w:r>
        <w:rPr>
          <w:rFonts w:ascii="Times New Roman;Times;Serif" w:hAnsi="Times New Roman;Times;Serif"/>
          <w:b w:val="false"/>
          <w:i w:val="false"/>
          <w:caps w:val="false"/>
          <w:smallCaps w:val="false"/>
          <w:sz w:val="20"/>
        </w:rPr>
        <w:t>2.5 million to the Company. Funding was structured in two tranches: an initial $</w:t>
      </w:r>
      <w:bookmarkStart w:id="820" w:name="xdx_907_eus-gaap--ConvertibleDebt_iI_pn5"/>
      <w:bookmarkEnd w:id="820"/>
      <w:r>
        <w:rPr>
          <w:rFonts w:ascii="Times New Roman;Times;Serif" w:hAnsi="Times New Roman;Times;Serif"/>
          <w:b w:val="false"/>
          <w:i w:val="false"/>
          <w:caps w:val="false"/>
          <w:smallCaps w:val="false"/>
          <w:sz w:val="20"/>
        </w:rPr>
        <w:t>0.5 million at closing and $</w:t>
      </w:r>
      <w:bookmarkStart w:id="821" w:name="xdx_90C_eus-gaap--ConvertibleDebt_iI_pn5"/>
      <w:bookmarkEnd w:id="821"/>
      <w:r>
        <w:rPr>
          <w:rFonts w:ascii="Times New Roman;Times;Serif" w:hAnsi="Times New Roman;Times;Serif"/>
          <w:b w:val="false"/>
          <w:i w:val="false"/>
          <w:caps w:val="false"/>
          <w:smallCaps w:val="false"/>
          <w:sz w:val="20"/>
        </w:rPr>
        <w:t>2.0 million upon (i) the effectiveness of a registration statement covering the underlying shares and (ii) receipt of requisite shareholder approval in accordance with Nasdaq Listing Rule 5635. The transaction was completed as a private placement under Section 4(a)(2) of the Securities Act and Rule 506(b) of Regulation 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2026, the Company entered into a Termination Agreement with Evergreen pursuant to which the parties agreed to terminate the convertible promissory note and the related Securities Purchase Agreement. The termination became effective upon the issuance of shares of common stock pursuant to Conversion Notice #7, dated January 13, 2026. As a result, the note and the Securities Purchase Agreement are null and void and of no further force or effect, and no additional amounts are due or payable by either party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822" w:name="xdx_90A_eus-gaap--DebtInstrumentRepurcha"/>
      <w:bookmarkEnd w:id="822"/>
      <w:r>
        <w:rPr>
          <w:rFonts w:ascii="Times New Roman;Times;Serif" w:hAnsi="Times New Roman;Times;Serif"/>
          <w:b w:val="false"/>
          <w:i w:val="false"/>
          <w:caps w:val="false"/>
          <w:smallCaps w:val="false"/>
          <w:sz w:val="20"/>
        </w:rPr>
        <w:t>500,000 was funded by Evergreen in December of 2025 and converted into equity in December 2025 and January 2026. The remaining $</w:t>
      </w:r>
      <w:bookmarkStart w:id="823" w:name="xdx_90C_eus-gaap--DebtInstrumentRepurcha"/>
      <w:bookmarkEnd w:id="823"/>
      <w:r>
        <w:rPr>
          <w:rFonts w:ascii="Times New Roman;Times;Serif" w:hAnsi="Times New Roman;Times;Serif"/>
          <w:b w:val="false"/>
          <w:i w:val="false"/>
          <w:caps w:val="false"/>
          <w:smallCaps w:val="false"/>
          <w:sz w:val="20"/>
        </w:rPr>
        <w:t>2,000,000 was not received and there are no remaining obligations of either party with respect to the $</w:t>
      </w:r>
      <w:bookmarkStart w:id="824" w:name="xdx_906_eus-gaap--DebtInstrumentRepurcha"/>
      <w:bookmarkEnd w:id="824"/>
      <w:r>
        <w:rPr>
          <w:rFonts w:ascii="Times New Roman;Times;Serif" w:hAnsi="Times New Roman;Times;Serif"/>
          <w:b w:val="false"/>
          <w:i w:val="false"/>
          <w:caps w:val="false"/>
          <w:smallCaps w:val="false"/>
          <w:sz w:val="20"/>
        </w:rPr>
        <w:t>2,000,000.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Federal Case Dismissal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28, 2026, in </w:t>
      </w:r>
      <w:r>
        <w:rPr>
          <w:rFonts w:ascii="Times New Roman;Times;Serif" w:hAnsi="Times New Roman;Times;Serif"/>
          <w:b w:val="false"/>
          <w:i/>
          <w:caps w:val="false"/>
          <w:smallCaps w:val="false"/>
          <w:sz w:val="20"/>
        </w:rPr>
        <w:t>Lottery.com, Inc. f/k/a AutoLotto, Inc., et al. v. John J. Brier, Jr., et al.</w:t>
      </w:r>
      <w:r>
        <w:rPr>
          <w:rFonts w:ascii="Times New Roman;Times;Serif" w:hAnsi="Times New Roman;Times;Serif"/>
          <w:b w:val="false"/>
          <w:i w:val="false"/>
          <w:caps w:val="false"/>
          <w:smallCaps w:val="false"/>
          <w:sz w:val="20"/>
        </w:rPr>
        <w:t>, Case No. 8:23-cv-2594, the United States District Court for the Middle District of Florida granted, in part, the Company’s renewed motion to dismiss for lack of subject matter jurisdiction, declined to exercise supplemental jurisdiction over the remaining state-law counterclaims, overruled the defendants’ objections to the magistrate judge’s findings and recommendations, and directed that the case be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Simon Lewis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2026, the Company announced the appointment of Simon Lewis as Chief Executive Officer of Concerts.com and EVP of Entertainment for SEGG Media. In this role, Mr. Lewis will lead the strategic development and commercial rollout of Concerts.com and oversee the Company’s broader entertainment portfolio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Lewis brings significant experience in the global live entertainment and media industries, including prior service as President of Live Nation Europe. The appointment supports the Company’s previously disclosed strategy to expand its presence across sports, entertainment, and media platforms, including the development of Concerts.com and related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Illegal Trading Lawsuit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10, 2026, the Company announced that it had filed a civil complaint in the District Court of Tarrant County, Texas, </w:t>
      </w:r>
      <w:r>
        <w:rPr>
          <w:rFonts w:ascii="Times New Roman;Times;Serif" w:hAnsi="Times New Roman;Times;Serif"/>
          <w:b w:val="false"/>
          <w:i/>
          <w:caps w:val="false"/>
          <w:smallCaps w:val="false"/>
          <w:sz w:val="20"/>
        </w:rPr>
        <w:t>Sports Entertainment Gaming Global Corporation v. Virtu Financial Capital Markets LLC, et al.</w:t>
      </w:r>
      <w:r>
        <w:rPr>
          <w:rFonts w:ascii="Times New Roman;Times;Serif" w:hAnsi="Times New Roman;Times;Serif"/>
          <w:b w:val="false"/>
          <w:i w:val="false"/>
          <w:caps w:val="false"/>
          <w:smallCaps w:val="false"/>
          <w:sz w:val="20"/>
        </w:rPr>
        <w:t>, alleging illegal trading activities and market manipulation involving the Company’s securities. The complaint seeks damages of approximately $</w:t>
      </w:r>
      <w:bookmarkStart w:id="825" w:name="xdx_909_eus-gaap--LossContingencyDamages"/>
      <w:bookmarkEnd w:id="825"/>
      <w:r>
        <w:rPr>
          <w:rFonts w:ascii="Times New Roman;Times;Serif" w:hAnsi="Times New Roman;Times;Serif"/>
          <w:b w:val="false"/>
          <w:i w:val="false"/>
          <w:caps w:val="false"/>
          <w:smallCaps w:val="false"/>
          <w:sz w:val="20"/>
        </w:rPr>
        <w:t>179 million, along with other relief, against multiple defendants.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alleges that the defendants engaged in unlawful trading practices that adversely impacted the market for the Company’s common stock. The litigation is in its early stages, and the outcome cannot be predicted at this time. The filing of the complaint does not constitute a determination of liability with respect to any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Veloce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2026, the Company completed the acquisition of a controlling interest in Veloce Media Group Limited (“Veloce”), a digital motorsports, gaming and sports media platform. The acquisition was effected pursuant to a definitive share purchase agreement under which the Company acquired a supermajority ownership position of approximately 68% of the issued and outstanding equity interests of Veloce.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represents a strategic expansion of the Company’s media and content capabilities, providing immediate scale in audience reach, digital distribution and commercial partnerships. Veloce operates a global media network with a focus on esports, gaming and motorsport content, generating significant monthly digital impressions and audience engagement across multiple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for the acquisition consisted primarily of equity issued by the Company, along with certain contingent or deferred elements customary for transactions of this nature. The transaction is subject to customary closing adjustments and post-closing integration activities. The Company is in the process of finalizing the purchase price allocation and accounting for the transaction in accordance with ASC 805, Business Combinations. As such, the initial accounting for the acquisition is incomplete as of the date of issuance of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extend an offer to acquire the remaining equity interests of Veloce, subject to applicable regulatory requirements and shareholder approvals, with the objective of increasing its ownership position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Appointments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25, 2026, the Board of Directors of the Company appointed Robert Stubblefield and Daniel Bailey to serve as members of the Board. Mr. Stubblefield was appointed as a Class II director with a term expiring at the Company’s 2027 annual meeting of stockholders or until his successor is duly elected and qualified, and Mr. Bailey was appointed as a Class III director with a term expiring at the Company’s 2028 annual meeting of stockholders or until his successor is duly elected and qualified. Mr. Stubblefield currently serves as the Company’s Chief Financial Officer and Interim Chief Executive Officer and President. Mr. Bailey is the Chief Executive Officer of Veloce Media Group. As previously disclosed in the Company’s Current Report on Form 8-K filed on February 23, 2026, Mr. Bailey was a party to the Share Purchase Agreement entered into in connection with the Company’s acquisition of a controlling interest in Veloce, and the transaction constituted a related party transaction under Item 404(a) of Regulation S-K. Other than as previously disclosed, the Company has not identified any additional related party transactions with Mr. Bailey requiring disclosure under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Predictive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2026, the Company announced the formation of Sports Predicts Limited, a wholly owned subsidiary, to develop and operate “Sports.com Predict,” a prediction markets offering intended to be integrated into the Company’s Sports.com platform.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the initiative aligns with its broader strategy to expand monetization opportunities across its digital ecosystem by introducing interactive, engagement-driven features. Once developed and launched, Sports.com Predict is expected to enhance user engagement and create incremental, scalable revenue opportunities within the Sports.com platform. The global prediction markets sector has experienced significant recent growth, and the Company intends to position this offering to participate in that expanding market, subject to applicable regulatory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2026, Sports Predicts Limited, a subsidiary of the Company, entered into a Partnership and Integration Agreement with Blockratize Inc. (d/b/a Polymarket) pursuant to which the Company will integrate Polymarket’s decentralized prediction markets technology into the Sports.com platform. Under the agreement, Polymarket will provide application programming interfaces, software development kits and related infrastructure to support the integration of prediction market products within the Sports.com ecosystem. The agreement provides for the sharing of net transaction fee revenue generated from users of the platform and grants Polymarket exclusivity as the Company’s provider of prediction markets technology during the term of the agreement. The agreement has an initial term through June 30, 2029, unless terminated earlier in accordance with its terms. The Company began allowing users to purchase contracts on June 10,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Amorua Global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2026, the Company entered into a Securities Purchase Agreement with Amorua Global, Inc. pursuant to which the Company issued an unsecured convertible promissory note with an original principal amount of $</w:t>
      </w:r>
      <w:bookmarkStart w:id="826" w:name="xdx_90B_eus-gaap--DebtInstrumentFaceAmou"/>
      <w:bookmarkEnd w:id="826"/>
      <w:r>
        <w:rPr>
          <w:rFonts w:ascii="Times New Roman;Times;Serif" w:hAnsi="Times New Roman;Times;Serif"/>
          <w:b w:val="false"/>
          <w:i w:val="false"/>
          <w:caps w:val="false"/>
          <w:smallCaps w:val="false"/>
          <w:sz w:val="20"/>
        </w:rPr>
        <w:t xml:space="preserve">3.5 million. The note bears interest at a rate of </w:t>
      </w:r>
      <w:bookmarkStart w:id="827" w:name="xdx_905_eus-gaap--DebtInstrumentInterest"/>
      <w:bookmarkEnd w:id="827"/>
      <w:r>
        <w:rPr>
          <w:rFonts w:ascii="Times New Roman;Times;Serif" w:hAnsi="Times New Roman;Times;Serif"/>
          <w:b w:val="false"/>
          <w:i w:val="false"/>
          <w:caps w:val="false"/>
          <w:smallCaps w:val="false"/>
          <w:sz w:val="20"/>
        </w:rPr>
        <w:t xml:space="preserve">12% per annum, matures twenty-four months from issuance and was issued with an original issue discount of </w:t>
      </w:r>
      <w:bookmarkStart w:id="828" w:name="xdx_90B_ecustom--DebtInstrumentOriginalI"/>
      <w:bookmarkEnd w:id="828"/>
      <w:r>
        <w:rPr>
          <w:rFonts w:ascii="Times New Roman;Times;Serif" w:hAnsi="Times New Roman;Times;Serif"/>
          <w:b w:val="false"/>
          <w:i w:val="false"/>
          <w:caps w:val="false"/>
          <w:smallCaps w:val="false"/>
          <w:sz w:val="20"/>
        </w:rPr>
        <w:t xml:space="preserve">15%. Subject to </w:t>
      </w:r>
      <w:bookmarkStart w:id="829" w:name="xdx_90A_eus-gaap--DebtInstrumentDescript"/>
      <w:bookmarkEnd w:id="829"/>
      <w:r>
        <w:rPr>
          <w:rFonts w:ascii="Times New Roman;Times;Serif" w:hAnsi="Times New Roman;Times;Serif"/>
          <w:b w:val="false"/>
          <w:i w:val="false"/>
          <w:caps w:val="false"/>
          <w:smallCaps w:val="false"/>
          <w:sz w:val="20"/>
        </w:rPr>
        <w:t>the terms of the note, outstanding principal and accrued interest may be converted into shares of the Company’s common stock at a variable conversion price based on market prices of the Company’s common stock, subject to certain adjustments and a 9.99% beneficial ownership limitation. The Company intends to use the net proceeds for general corporate purposes, including the repayment of certain existing indebtedness. In connection with the financing, the Company agreed to file a registration statement covering the resale of shares issuable upon conversion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Alumni Capital Notice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the Company received a notice from Alumni Capital LP (“Alumni”), the holder of an unsecured convertible promissory note issued pursuant to a Securities Purchase Agreement dated March 16, 2026. In the notice, Alumni alleged that certain events of default had occurred under the applicable transaction documents, including alleged failures relating to registration obligations and periodic reporting requirements, and demanded redemption of the outstanding note at an asserted redemption price of approximately $</w:t>
      </w:r>
      <w:bookmarkStart w:id="830" w:name="xdx_90E_eus-gaap--DebtInstrumentFaceAmou"/>
      <w:bookmarkEnd w:id="830"/>
      <w:r>
        <w:rPr>
          <w:rFonts w:ascii="Times New Roman;Times;Serif" w:hAnsi="Times New Roman;Times;Serif"/>
          <w:b w:val="false"/>
          <w:i w:val="false"/>
          <w:caps w:val="false"/>
          <w:smallCaps w:val="false"/>
          <w:sz w:val="20"/>
        </w:rPr>
        <w:t>4.4 million, plus other amounts that Alumni contends may be due under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further states that Alumni may pursue legal remedies if the amounts demanded are not paid. The Company is evaluating Alumni’s claims, its rights and obligations under the transaction documents, and potential defenses, and is engaged in discussions with Alumni regarding the matter. As of the date of issuance of these financial statements, no conclusion has been reached regarding the ultimate outcome of this matter. Accordingly, the Company cannot reasonably estimate the amount or range of any potential loss, if any, that may result from the resolution of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Virtu Financial Capital Markets LLC, Virtu Americas LLC, GTS Securities, LLC and G1 Execution Services, LLC 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2026, the Company commenced litigation in the District Court of Tarrant County, Texas against Virtu Financial Capital Markets LLC, Virtu Americas LLC, GTS Securities, LLC and G1 Execution Services, LLC alleging violations of state and federal securities laws arising from alleged manipulative trading activity affecting the Company’s common stock. The complaint seeks monetary damages, attorneys’ fees, costs, interest and other available relief. The Company will continue to evaluate developments in the litigation and disclose material updates as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White Diamond Research LLC and Adam Gefvert Civil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filed a civil action in the District Court of Tarrant County, Texas against White Diamond Research LLC and Adam Gefvert. The complaint alleges, among other things, business disparagement and other claims arising from statements and publications made by the defendants concerning the Company and its business. The Company seeks monetary damages, injunctive and other equitable relief, attorneys’ fees where recoverable, costs, and such other relief as the court may deem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the claims asserted in the action are meritorious and intends to prosecute the matter vigorously. Because the litigation is in its preliminary stages, the ultimate outcome cannot be predicted, and the Company is unable to reasonably estimate any potential recovery, if any. Accordingly, no asset has been recognized in the accompanying financial statements related to this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USA TODAY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Company commenced litigation in the District Court of Tarrant County, Texas against USA TODAY Co., Inc. (formerly Gannett Co., Inc.), and certain affiliated entities relating to an Advertising Agreement executed in December 2016. The complaint alleges that the defendants have refused to recognize or permit the Company’s use of the remaining advertising inventory available under the agreement despite the Company’s efforts since 2024 to exercise its contractual rights. The Company is seeking declaratory relief, damages, and other available remedies. As of the date these financial statements were issued, the litigation remains in its preliminary stages, and no estimate of any potential recovery can be made.</w:t>
      </w:r>
    </w:p>
    <w:p>
      <w:pPr>
        <w:pStyle w:val="TextBody"/>
        <w:bidi w:val="0"/>
        <w:spacing w:before="0" w:after="0"/>
        <w:ind w:left="0" w:right="0" w:hanging="0"/>
        <w:jc w:val="left"/>
        <w:rPr>
          <w:caps w:val="false"/>
          <w:smallCaps w:val="false"/>
        </w:rPr>
      </w:pPr>
      <w:bookmarkStart w:id="831" w:name="xdx_812_zyRUjBDIUawj"/>
      <w:bookmarkEnd w:id="83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832" w:name="sk_001"/>
      <w:bookmarkEnd w:id="832"/>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6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Item 14. Principal Accounting Fees and Services.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833" w:name="sk_002"/>
      <w:bookmarkEnd w:id="833"/>
      <w:r>
        <w:rPr>
          <w:rFonts w:ascii="Times New Roman;Times;Serif" w:hAnsi="Times New Roman;Times;Serif"/>
          <w:b/>
          <w:i w:val="false"/>
          <w:caps w:val="false"/>
          <w:smallCaps w:val="false"/>
          <w:sz w:val="20"/>
        </w:rPr>
        <w:t>Item 9A. Controls and Procedures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 for Legacy Matter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connection with the filing of the Company’s Annual Report on Form 10-K for the year ended December 31, 2021 (the “Original 2021 Annual Report”) on April 1, 2022, our management, with the participation of our then Chief Executive Officer and Chief Financial Officer, evaluated the effectiveness of our disclosure controls and procedures (as such term is defined in Rules 13a-15(e) and 15d-15(e) under the Exchange Act) as of December 31, 2021. Based on their evaluation, our then Chief Executive Officer and Chief Financial Officer concluded that, as of December 31, 2021, our disclosure controls and procedures were not effective due to material weaknesses in our internal control over financial reporting with respect to our financial statement close and reporting process.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filing of Amendment No. 1 to the Company’s Annual Report on Form 10-K/A for the year ended December 31, 2021 (the “Amended 2021 Annual Report”), our management, with the participation of our Chief Executive Officer, reevaluated the effectiveness of our disclosure controls and procedures (as such term is defined in Rules 13a-15(e) and 15d-15(e) under the Exchange Act) as of December 31, 2021 and determined they were not effective due to the material weaknesses in our internal control over financial reporting with respect to our financial statement close and reporting process. Our disclosure controls and procedures are designed to ensure that information required to be disclosed by us in the reports that we file or submit under the Exchange Act is recorded, processed, summarized and reported within the time periods specified in SEC rules and forms, and that such information is accumulated and communicated to our management, including our Chief Executive Officer, to allow timely decisions regarding required disclosures.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Management’s Report on Internal Control Over Financial Reporting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In connection with this Report, our management, with the participation of our Chief Executive Officer, reevaluated the effectiveness of our disclosure controls and procedures (as such term is defined in Rules 13a-15(e) and 15d-15(e) under the Exchange Act) as of December 31, 2022. Based on such reevaluation, our Chief Executive Officer concluded that, as of the end of the period covered by this Report, our disclosure controls and procedures were still not effective due to the material weaknesses in our internal control over financial reporting with respect to our financial statement close and reporting process, as described further below. As a result of this conclusion, we retained third-party accounting consultants who performed additional analysis as deemed necessary to ensure that our financial statements were prepared in accordance with GAAP. Accordingly, management believes that the financial statements included in this Report present fairly in all material respects our financial position, results of operations and cash flows for the periods presented. The issues which were identified during the initial and subsequent review continued until the new management team for the company began addressing them in the fall of 2022. Efforts to strengthen and improve internal controls over accounting and financial reporting are ongoing.</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Weaknesses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evaluation required by Rules 13a-15(d) and 15d-15(d) under the Securities Exchange Act of 1934, as amended, management, with the participation of the Company’s Audit Committee and Chief Financial Officer, assessed the effectiveness of the Company’s internal control over financial reporting for the period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the Company identified material weaknesses in its internal control over financial reporting, including (i) a lack of a sufficient number of personnel with appropriate technical expertise to account for complex or non-routine transactions, (ii) deficiencies in the design and operating effectiveness of policies and procedures related to the review, supervision and monitoring of the Company’s accounting and financial reporting functions, (iii) challenges in the timely completion of the financial close process, and (iv) incomplete segregation of duties across certain transaction cycles and processes.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arose during a prior period and reflect a legacy control environment that did not keep pace with the Company’s operational complexity and public company reporting requirements. Since that time, the Company has taken decisive actions to stabilize and rebuild its financial reporting infrastructure.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ended December 31, 2025, the Company continued to execute against a structured remediation plan focused on accountability, discipline, and scalability. Key actions include strengthening the finance and accounting organization through targeted hiring and the engagement of external technical experts, implementing formalized policies and procedures and enhancing review and supervisory controls, and introducing a more rigorous and structured financial close process. The Company has also made progress in improving segregation of duties and implementing compensating controls, while investing in systems, processes, and governance frameworks designed to support long-term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efforts are part of a broader transformation initiative to align the Company’s control environment with the expectations of a Nasdaq-listed company and to support a disciplined, execution-focused operating model. Management believes that the remediation actions undertaken to date are materially improving both the design and operating effectiveness of internal controls and are establishing a durable foundation for consistent, timely, and transparent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a potential material weakness in our internal control over financial reporting related to the concentration of authority resulting from our Chief Financial Officer also serving as Interim Chief Executive Officer. This dual role may impair the effective segregation of duties and oversight functions that are fundamental to a robust control environment, particularly with respect to the review and approval of significant transactions, financial reporting, and management judgments. While we have implemented certain compensating controls, including enhanced involvement of the Chairman and other members of our Board of Directors and Audit Committee in key decisions and financial reporting oversight, these measures may not fully mitigate the risk associated with this concentration of responsibilities. Accordingly, we have concluded that this represents a potential material weakness in our internal control over financial reporting. We are in the process of evaluating and implementing remediation measures, including the appointment of additional qualified personnel and the enhancement of governance and review procedures, to address this issue.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herein, there were no changes in the Company’s internal control over financial reporting during the period ended December 31, 2025 that have materially affected, or are reasonably likely to materially affect, the Company’s internal control over financial reporting. However, the material weaknesses described above have not yet been fully remediated. Management expects continued progress as these enhancements are fully implemented and demonstrate sustained effectiveness over successive reporting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the measures we take will be sufficient to remediate the material weaknesses we identified or avoid the identification of additional material weaknesses in the future. If the steps we take do not remediate the material weaknesses in a timely manner, there could continue to be a reasonable possibility that this control deficiency or others could result in another material misstatement of our annual or interim financial statements that would not be prevented or detected on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internal controls can provide only reasonable assurance, management is committed to completing the remediation process and maintaining a best-in-class control environment that supports long-term shareholder value, operational discipline, and financial transparency.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see “</w:t>
      </w:r>
      <w:r>
        <w:rPr>
          <w:rFonts w:ascii="Times New Roman;Times;Serif" w:hAnsi="Times New Roman;Times;Serif"/>
          <w:b w:val="false"/>
          <w:i/>
          <w:caps w:val="false"/>
          <w:smallCaps w:val="false"/>
          <w:sz w:val="20"/>
        </w:rPr>
        <w:t>Item 1A. Risk Factors - Public Company Operating Risks - If we fail to implement and maintain an effective system of internal controls, we may be unable to accurately report our results of operations, meet our reporting obligations or prevent fraud, and investor confidence and the trading price of our common stock and warrants may be materially and adversely affected</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herein, there was no change in our internal control over financial reporting identified in connection with the evaluation required by Rule 13a-15(d) and 15d-15(d) of the Exchange Act that occurred during the period ended December 31, 2025 that has materially affected, or is reasonably likely to materially affect, our internal control over financial reporting.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834" w:name="sk_003"/>
      <w:bookmarkEnd w:id="834"/>
      <w:r>
        <w:rPr>
          <w:rFonts w:ascii="Times New Roman;Times;Serif" w:hAnsi="Times New Roman;Times;Serif"/>
          <w:b/>
          <w:i w:val="false"/>
          <w:caps w:val="false"/>
          <w:smallCaps w:val="false"/>
          <w:sz w:val="20"/>
        </w:rPr>
        <w:t>Item 9B. Other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835" w:name="xdx_90A_ecustom--NoInsiderTradingFlag_db"/>
      <w:bookmarkEnd w:id="835"/>
      <w:r>
        <w:rPr>
          <w:rFonts w:ascii="Times New Roman;Times;Serif" w:hAnsi="Times New Roman;Times;Serif"/>
          <w:b w:val="false"/>
          <w:i w:val="false"/>
          <w:caps w:val="false"/>
          <w:smallCaps w:val="false"/>
          <w:sz w:val="20"/>
        </w:rPr>
        <w:t>None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836" w:name="sk_004"/>
      <w:bookmarkEnd w:id="836"/>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37" w:name="sk_005"/>
      <w:bookmarkEnd w:id="837"/>
      <w:r>
        <w:rPr>
          <w:rFonts w:ascii="Times New Roman;Times;Serif" w:hAnsi="Times New Roman;Times;Serif"/>
          <w:b/>
          <w:i w:val="false"/>
          <w:caps w:val="false"/>
          <w:smallCaps w:val="false"/>
          <w:sz w:val="20"/>
        </w:rPr>
        <w:t>PART III</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838" w:name="sk_006"/>
      <w:bookmarkEnd w:id="838"/>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certain information, as of the date of this report, concerning the directors and officers of the Company.</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75"/>
        <w:gridCol w:w="60"/>
        <w:gridCol w:w="425"/>
        <w:gridCol w:w="60"/>
        <w:gridCol w:w="7385"/>
      </w:tblGrid>
      <w:tr>
        <w:trPr/>
        <w:tc>
          <w:tcPr>
            <w:tcW w:w="2275"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425" w:type="dxa"/>
            <w:tcBorders>
              <w:bottom w:val="single" w:sz="8" w:space="0" w:color="000000"/>
            </w:tcBorders>
            <w:vAlign w:val="center"/>
          </w:tcPr>
          <w:p>
            <w:pPr>
              <w:pStyle w:val="TableContents"/>
              <w:bidi w:val="0"/>
              <w:spacing w:before="0" w:after="283"/>
              <w:jc w:val="center"/>
              <w:rPr>
                <w:b/>
              </w:rPr>
            </w:pPr>
            <w:r>
              <w:rPr>
                <w:b/>
              </w:rPr>
              <w:t>Age</w:t>
            </w:r>
          </w:p>
        </w:tc>
        <w:tc>
          <w:tcPr>
            <w:tcW w:w="60" w:type="dxa"/>
            <w:tcBorders/>
            <w:tcMar>
              <w:bottom w:w="0" w:type="dxa"/>
            </w:tcMar>
            <w:vAlign w:val="center"/>
          </w:tcPr>
          <w:p>
            <w:pPr>
              <w:pStyle w:val="TableContents"/>
              <w:bidi w:val="0"/>
              <w:spacing w:before="0" w:after="283"/>
              <w:jc w:val="left"/>
              <w:rPr/>
            </w:pPr>
            <w:r>
              <w:rPr/>
              <w:t> </w:t>
            </w:r>
          </w:p>
        </w:tc>
        <w:tc>
          <w:tcPr>
            <w:tcW w:w="7385" w:type="dxa"/>
            <w:tcBorders>
              <w:bottom w:val="single" w:sz="8" w:space="0" w:color="000000"/>
            </w:tcBorders>
            <w:vAlign w:val="center"/>
          </w:tcPr>
          <w:p>
            <w:pPr>
              <w:pStyle w:val="TableContents"/>
              <w:bidi w:val="0"/>
              <w:spacing w:before="0" w:after="283"/>
              <w:jc w:val="left"/>
              <w:rPr>
                <w:b/>
              </w:rPr>
            </w:pPr>
            <w:r>
              <w:rPr>
                <w:b/>
              </w:rPr>
              <w:t>Position</w:t>
            </w:r>
          </w:p>
        </w:tc>
      </w:tr>
      <w:tr>
        <w:trPr/>
        <w:tc>
          <w:tcPr>
            <w:tcW w:w="2275" w:type="dxa"/>
            <w:tcBorders/>
            <w:shd w:fill="CCEEFF" w:val="clear"/>
            <w:tcMar>
              <w:bottom w:w="0" w:type="dxa"/>
            </w:tcMar>
            <w:vAlign w:val="center"/>
          </w:tcPr>
          <w:p>
            <w:pPr>
              <w:pStyle w:val="TableContents"/>
              <w:bidi w:val="0"/>
              <w:spacing w:before="0" w:after="283"/>
              <w:jc w:val="left"/>
              <w:rPr>
                <w:i/>
              </w:rPr>
            </w:pPr>
            <w:r>
              <w:rPr>
                <w:i/>
              </w:rPr>
              <w:t>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85" w:type="dxa"/>
            <w:tcBorders/>
            <w:shd w:fill="CCEEFF" w:val="clear"/>
            <w:tcMar>
              <w:bottom w:w="0" w:type="dxa"/>
            </w:tcMar>
            <w:vAlign w:val="center"/>
          </w:tcPr>
          <w:p>
            <w:pPr>
              <w:pStyle w:val="TableContents"/>
              <w:bidi w:val="0"/>
              <w:spacing w:before="0" w:after="283"/>
              <w:jc w:val="left"/>
              <w:rPr/>
            </w:pPr>
            <w:r>
              <w:rPr/>
              <w:t> </w:t>
            </w:r>
          </w:p>
        </w:tc>
      </w:tr>
      <w:tr>
        <w:trPr/>
        <w:tc>
          <w:tcPr>
            <w:tcW w:w="2275" w:type="dxa"/>
            <w:tcBorders/>
            <w:shd w:fill="FFFFFF" w:val="clear"/>
            <w:tcMar>
              <w:bottom w:w="0" w:type="dxa"/>
            </w:tcMar>
            <w:vAlign w:val="center"/>
          </w:tcPr>
          <w:p>
            <w:pPr>
              <w:pStyle w:val="TableContents"/>
              <w:bidi w:val="0"/>
              <w:spacing w:before="0" w:after="283"/>
              <w:jc w:val="left"/>
              <w:rPr/>
            </w:pPr>
            <w:r>
              <w:rPr/>
              <w:t xml:space="preserve">Robert Stubblefield </w:t>
            </w:r>
            <w:r>
              <w:rPr>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85" w:type="dxa"/>
            <w:tcBorders/>
            <w:shd w:fill="FFFFFF" w:val="clear"/>
            <w:tcMar>
              <w:bottom w:w="0" w:type="dxa"/>
            </w:tcMar>
            <w:vAlign w:val="center"/>
          </w:tcPr>
          <w:p>
            <w:pPr>
              <w:pStyle w:val="TableContents"/>
              <w:bidi w:val="0"/>
              <w:spacing w:before="0" w:after="283"/>
              <w:jc w:val="left"/>
              <w:rPr/>
            </w:pPr>
            <w:r>
              <w:rPr/>
              <w:t>Chief Financial Officer, Interim President, Interim Chief Executive Officer, and Secretary</w:t>
            </w:r>
          </w:p>
        </w:tc>
      </w:tr>
      <w:tr>
        <w:trPr/>
        <w:tc>
          <w:tcPr>
            <w:tcW w:w="2275" w:type="dxa"/>
            <w:tcBorders/>
            <w:shd w:fill="CCEEFF" w:val="clear"/>
            <w:tcMar>
              <w:bottom w:w="0" w:type="dxa"/>
            </w:tcMar>
            <w:vAlign w:val="center"/>
          </w:tcPr>
          <w:p>
            <w:pPr>
              <w:pStyle w:val="TableContents"/>
              <w:bidi w:val="0"/>
              <w:spacing w:before="0" w:after="283"/>
              <w:jc w:val="left"/>
              <w:rPr/>
            </w:pPr>
            <w:r>
              <w:rPr/>
              <w:t>Gregory Potts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85" w:type="dxa"/>
            <w:tcBorders/>
            <w:shd w:fill="CCEEFF" w:val="clear"/>
            <w:tcMar>
              <w:bottom w:w="0" w:type="dxa"/>
            </w:tcMar>
            <w:vAlign w:val="center"/>
          </w:tcPr>
          <w:p>
            <w:pPr>
              <w:pStyle w:val="TableContents"/>
              <w:bidi w:val="0"/>
              <w:spacing w:before="0" w:after="283"/>
              <w:jc w:val="left"/>
              <w:rPr/>
            </w:pPr>
            <w:r>
              <w:rPr/>
              <w:t>Chief Operating Officer</w:t>
            </w:r>
          </w:p>
        </w:tc>
      </w:tr>
      <w:tr>
        <w:trPr/>
        <w:tc>
          <w:tcPr>
            <w:tcW w:w="2275" w:type="dxa"/>
            <w:tcBorders/>
            <w:shd w:fill="FFFFFF" w:val="clear"/>
            <w:tcMar>
              <w:bottom w:w="0" w:type="dxa"/>
            </w:tcMar>
            <w:vAlign w:val="center"/>
          </w:tcPr>
          <w:p>
            <w:pPr>
              <w:pStyle w:val="TableContents"/>
              <w:bidi w:val="0"/>
              <w:spacing w:before="0" w:after="283"/>
              <w:jc w:val="left"/>
              <w:rPr/>
            </w:pPr>
            <w:r>
              <w:rPr/>
              <w:t>Daniel Bailey</w:t>
            </w:r>
            <w:r>
              <w:rPr>
                <w:position w:val="8"/>
                <w:sz w:val="19"/>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85" w:type="dxa"/>
            <w:tcBorders/>
            <w:shd w:fill="FFFFFF" w:val="clear"/>
            <w:tcMar>
              <w:bottom w:w="0" w:type="dxa"/>
            </w:tcMar>
            <w:vAlign w:val="center"/>
          </w:tcPr>
          <w:p>
            <w:pPr>
              <w:pStyle w:val="TableContents"/>
              <w:bidi w:val="0"/>
              <w:spacing w:before="0" w:after="283"/>
              <w:jc w:val="left"/>
              <w:rPr/>
            </w:pPr>
            <w:r>
              <w:rPr/>
              <w:t>Chief Commercial Officer</w:t>
            </w:r>
          </w:p>
        </w:tc>
      </w:tr>
      <w:tr>
        <w:trPr/>
        <w:tc>
          <w:tcPr>
            <w:tcW w:w="2275" w:type="dxa"/>
            <w:tcBorders/>
            <w:shd w:fill="CCEEFF" w:val="clear"/>
            <w:tcMar>
              <w:bottom w:w="0" w:type="dxa"/>
            </w:tcMar>
            <w:vAlign w:val="center"/>
          </w:tcPr>
          <w:p>
            <w:pPr>
              <w:pStyle w:val="TableContents"/>
              <w:bidi w:val="0"/>
              <w:spacing w:before="0" w:after="283"/>
              <w:jc w:val="left"/>
              <w:rPr/>
            </w:pPr>
            <w:r>
              <w:rPr/>
              <w:t>Jack Clarke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85" w:type="dxa"/>
            <w:tcBorders/>
            <w:shd w:fill="CCEEFF" w:val="clear"/>
            <w:tcMar>
              <w:bottom w:w="0" w:type="dxa"/>
            </w:tcMar>
            <w:vAlign w:val="center"/>
          </w:tcPr>
          <w:p>
            <w:pPr>
              <w:pStyle w:val="TableContents"/>
              <w:bidi w:val="0"/>
              <w:spacing w:before="0" w:after="283"/>
              <w:jc w:val="left"/>
              <w:rPr/>
            </w:pPr>
            <w:r>
              <w:rPr/>
              <w:t>Chief Strategy Officer</w:t>
            </w:r>
          </w:p>
        </w:tc>
      </w:tr>
      <w:tr>
        <w:trPr/>
        <w:tc>
          <w:tcPr>
            <w:tcW w:w="2275" w:type="dxa"/>
            <w:tcBorders/>
            <w:shd w:fill="FFFFFF" w:val="clear"/>
            <w:tcMar>
              <w:bottom w:w="0" w:type="dxa"/>
            </w:tcMar>
            <w:vAlign w:val="center"/>
          </w:tcPr>
          <w:p>
            <w:pPr>
              <w:pStyle w:val="TableContents"/>
              <w:bidi w:val="0"/>
              <w:spacing w:before="0" w:after="283"/>
              <w:jc w:val="left"/>
              <w:rPr>
                <w:i/>
              </w:rPr>
            </w:pPr>
            <w:r>
              <w:rPr>
                <w:i/>
              </w:rPr>
              <w:t>Non-Employee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85" w:type="dxa"/>
            <w:tcBorders/>
            <w:shd w:fill="FFFFFF" w:val="clear"/>
            <w:tcMar>
              <w:bottom w:w="0" w:type="dxa"/>
            </w:tcMar>
            <w:vAlign w:val="center"/>
          </w:tcPr>
          <w:p>
            <w:pPr>
              <w:pStyle w:val="TableContents"/>
              <w:bidi w:val="0"/>
              <w:spacing w:before="0" w:after="283"/>
              <w:jc w:val="left"/>
              <w:rPr/>
            </w:pPr>
            <w:r>
              <w:rPr/>
              <w:t> </w:t>
            </w:r>
          </w:p>
        </w:tc>
      </w:tr>
      <w:tr>
        <w:trPr/>
        <w:tc>
          <w:tcPr>
            <w:tcW w:w="2275" w:type="dxa"/>
            <w:tcBorders/>
            <w:shd w:fill="CCEEFF" w:val="clear"/>
            <w:tcMar>
              <w:bottom w:w="0" w:type="dxa"/>
            </w:tcMar>
            <w:vAlign w:val="center"/>
          </w:tcPr>
          <w:p>
            <w:pPr>
              <w:pStyle w:val="TableContents"/>
              <w:bidi w:val="0"/>
              <w:spacing w:before="0" w:after="283"/>
              <w:jc w:val="left"/>
              <w:rPr/>
            </w:pPr>
            <w:r>
              <w:rPr/>
              <w:t>Marc Bircham</w:t>
            </w: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85" w:type="dxa"/>
            <w:tcBorders/>
            <w:shd w:fill="CCEEFF" w:val="clear"/>
            <w:tcMar>
              <w:bottom w:w="0" w:type="dxa"/>
            </w:tcMar>
            <w:vAlign w:val="center"/>
          </w:tcPr>
          <w:p>
            <w:pPr>
              <w:pStyle w:val="TableContents"/>
              <w:bidi w:val="0"/>
              <w:spacing w:before="0" w:after="283"/>
              <w:jc w:val="left"/>
              <w:rPr/>
            </w:pPr>
            <w:r>
              <w:rPr/>
              <w:t>Director and Chairperson of the Board</w:t>
            </w:r>
          </w:p>
        </w:tc>
      </w:tr>
      <w:tr>
        <w:trPr/>
        <w:tc>
          <w:tcPr>
            <w:tcW w:w="22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Christopher Gooding</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85" w:type="dxa"/>
            <w:tcBorders/>
            <w:shd w:fill="FFFFFF" w:val="clear"/>
            <w:tcMar>
              <w:bottom w:w="0" w:type="dxa"/>
            </w:tcMar>
            <w:vAlign w:val="center"/>
          </w:tcPr>
          <w:p>
            <w:pPr>
              <w:pStyle w:val="TableContents"/>
              <w:bidi w:val="0"/>
              <w:spacing w:before="0" w:after="283"/>
              <w:jc w:val="left"/>
              <w:rPr/>
            </w:pPr>
            <w:r>
              <w:rPr/>
              <w:t>Director</w:t>
            </w:r>
          </w:p>
        </w:tc>
      </w:tr>
      <w:tr>
        <w:trPr/>
        <w:tc>
          <w:tcPr>
            <w:tcW w:w="22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Warren Macal</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85" w:type="dxa"/>
            <w:tcBorders/>
            <w:shd w:fill="CCEEFF" w:val="clear"/>
            <w:tcMar>
              <w:bottom w:w="0" w:type="dxa"/>
            </w:tcMar>
            <w:vAlign w:val="center"/>
          </w:tcPr>
          <w:p>
            <w:pPr>
              <w:pStyle w:val="TableContents"/>
              <w:bidi w:val="0"/>
              <w:spacing w:before="0" w:after="283"/>
              <w:jc w:val="left"/>
              <w:rPr/>
            </w:pPr>
            <w:r>
              <w:rPr/>
              <w:t>Director</w:t>
            </w:r>
          </w:p>
        </w:tc>
      </w:tr>
      <w:tr>
        <w:trPr/>
        <w:tc>
          <w:tcPr>
            <w:tcW w:w="22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S. Jordan</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85" w:type="dxa"/>
            <w:tcBorders/>
            <w:shd w:fill="FFFFFF" w:val="clear"/>
            <w:tcMar>
              <w:bottom w:w="0" w:type="dxa"/>
            </w:tcMar>
            <w:vAlign w:val="center"/>
          </w:tcPr>
          <w:p>
            <w:pPr>
              <w:pStyle w:val="TableContents"/>
              <w:bidi w:val="0"/>
              <w:spacing w:before="0" w:after="283"/>
              <w:jc w:val="left"/>
              <w:rPr/>
            </w:pPr>
            <w:r>
              <w:rPr/>
              <w:t>Director</w:t>
            </w:r>
          </w:p>
        </w:tc>
      </w:tr>
      <w:tr>
        <w:trPr/>
        <w:tc>
          <w:tcPr>
            <w:tcW w:w="22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Tamer T. Hassan</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85" w:type="dxa"/>
            <w:tcBorders/>
            <w:shd w:fill="CCEEFF" w:val="clear"/>
            <w:tcMar>
              <w:bottom w:w="0" w:type="dxa"/>
            </w:tcMar>
            <w:vAlign w:val="center"/>
          </w:tcPr>
          <w:p>
            <w:pPr>
              <w:pStyle w:val="TableContents"/>
              <w:bidi w:val="0"/>
              <w:spacing w:before="0" w:after="283"/>
              <w:jc w:val="left"/>
              <w:rPr/>
            </w:pPr>
            <w:r>
              <w:rPr/>
              <w:t>Director</w:t>
            </w:r>
          </w:p>
        </w:tc>
      </w:tr>
    </w:tbl>
    <w:p>
      <w:pPr>
        <w:pStyle w:val="TextBody"/>
        <w:bidi w:val="0"/>
        <w:spacing w:before="0" w:after="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260"/>
        <w:gridCol w:w="777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director, with a term expiring at the annual meeting of Shareholders to be held in 2026.</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 director, with a term expiring at the annual meeting of Shareholders to be held in 2027.</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III director, with a term expiring at the annual meeting of Shareholders to be held in 2028.</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Robert J. Stubblefield </w:t>
      </w:r>
      <w:r>
        <w:rPr>
          <w:rFonts w:ascii="Times New Roman;Times;Serif" w:hAnsi="Times New Roman;Times;Serif"/>
          <w:b w:val="false"/>
          <w:i w:val="false"/>
          <w:caps w:val="false"/>
          <w:smallCaps w:val="false"/>
          <w:sz w:val="20"/>
        </w:rPr>
        <w:t>served as the chief financial officer of DeMeta, Inc. from January 2022 until July of 2023 and of Regnum Corp. from March 2020 to July of 2023. Mr. Stubblefield was the chief financial officer of Wookey Project Corp. and Wookey Search Technologies Corporation from March 2020 to December 2021. Further, Mr. Stubblefield served as a contract chief financial officer of Sherpa Digital Media, Inc. from February 2019 to December 2021. Prior to this role, from October 2017 to December 2019, Mr. Stubblefield served as a consulting chief financial officer for various start-ups and growth companies in the San Francisco Bay Area and has approximately 17 years of experience in senior finance, accounting, and operations roles in public companies. He has held a CPA License from the state of California since the late 1980’s.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Gregory Potts </w:t>
      </w:r>
      <w:r>
        <w:rPr>
          <w:rFonts w:ascii="Times New Roman;Times;Serif" w:hAnsi="Times New Roman;Times;Serif"/>
          <w:b w:val="false"/>
          <w:i w:val="false"/>
          <w:caps w:val="false"/>
          <w:smallCaps w:val="false"/>
          <w:sz w:val="20"/>
        </w:rPr>
        <w:t>has more than 25 years of strategic growth and marketing experience, including the successful implementation of growth strategies for consumer brands and their channel affiliates. Prior to being appointed as COO, he most recently served as Global Vice President of Affiliate Success at Lottery.com. He has served in leadership roles for several organizations ranging from SMEs to multi-billion corporations. His successful career covers a diverse set of industries including consumer and B2B technology; syndicated data; and not-for-profit development. He currently is a trustee of WinTogether.org and sits on the board of Medios Electrónicos Y De Comunicación, S.A.P.I. de CV and serves as Chairman of the American Advertising Federation Lexington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Daniel Bailey</w:t>
      </w:r>
      <w:r>
        <w:rPr>
          <w:rFonts w:ascii="Times New Roman;Times;Serif" w:hAnsi="Times New Roman;Times;Serif"/>
          <w:b w:val="false"/>
          <w:i w:val="false"/>
          <w:caps w:val="false"/>
          <w:smallCaps w:val="false"/>
          <w:sz w:val="20"/>
        </w:rPr>
        <w:t xml:space="preserve"> has over ten years of experience in the motorsport and sports commercial sectors. Prior to joining the Company, he held senior roles at Veloce Esports Ltd., where he contributed to the company’s growth through the development of commercial partnerships, the structuring of strategic transactions, including the acquisition of Quadrant, and participation in multiple capital raising activities. Over the course of his career, Mr. Bailey has been involved in generating more than $53 million in commercial partnerships and has worked with a range of global brands and rights holders, including Formula 1, VISA, Ferrari, McLaren, Mercedes, E.ON, Tencent, Sotheby’s, and Deutsche Bank. Earlier in his career, Mr. Bailey worked within the commercial division of IMG Motorsports and co-founded MPA, a marketing agency, where he continues to serve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Jack Clarke</w:t>
      </w:r>
      <w:r>
        <w:rPr>
          <w:rFonts w:ascii="Times New Roman;Times;Serif" w:hAnsi="Times New Roman;Times;Serif"/>
          <w:b w:val="false"/>
          <w:i w:val="false"/>
          <w:caps w:val="false"/>
          <w:smallCaps w:val="false"/>
          <w:sz w:val="20"/>
        </w:rPr>
        <w:t xml:space="preserve"> began his career as a professional racing driver, achieving wins and podium finishes in international racing series, including FIA Formula 2. In 2015, he transitioned into business roles within the sports and media industry, including experience with a sports technology investment fund and IMG. Mr. Clarke is a co-founder of Veloce, where he contributed to the development of its esports and digital media operations and supported the growth of its media network to over 600 million monthly views. Throughout his tenure at Veloce, Mr. Clarke has been involved in commercial strategy, content development, and partnership initiatives.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Marc Bircham</w:t>
      </w:r>
      <w:r>
        <w:rPr>
          <w:rFonts w:ascii="Times New Roman;Times;Serif" w:hAnsi="Times New Roman;Times;Serif"/>
          <w:b w:val="false"/>
          <w:i w:val="false"/>
          <w:caps w:val="false"/>
          <w:smallCaps w:val="false"/>
          <w:sz w:val="20"/>
        </w:rPr>
        <w:t xml:space="preserve"> is a seasoned executive, entrepreneur, and former international footballer with a dynamic career that spans professional sports, business development, and strategic leadership. Widely known as a Queens Park Rangers icon, Marc earned 21 caps for Canada and played over 300 games at the professional level. Beyond the pitch, he has built a respected reputation as a forward-thinking leader with deep commercial insight. As Director of Sports.com, Marc has spearheaded international growth, led complex acquisition projects, and forged high-value partnerships across the sports and entertainment industries. Bircham brings not only his global network and football expertise, but also a proven track record in entrepreneurial execution and board-level strategy.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Christopher Gooding </w:t>
      </w:r>
      <w:r>
        <w:rPr>
          <w:rFonts w:ascii="Times New Roman;Times;Serif" w:hAnsi="Times New Roman;Times;Serif"/>
          <w:b w:val="false"/>
          <w:i w:val="false"/>
          <w:caps w:val="false"/>
          <w:smallCaps w:val="false"/>
          <w:sz w:val="20"/>
        </w:rPr>
        <w:t>has been a member of the Board of Directors since August of 2023. Mr. Gooding brings decades as a partner at respected English, US and Canadian law firms, predominantly within the heart of London’s financial district. He has also held from 1999 to 2009 an advisory Board position of US Issuer of 144A funds - the Sovereign Trade Corporation, New York and supervised the triple rating of its 144a funds. His professional journey began at Clifford Turner in London and Dubai, advancing to a 15-year tenure at Clyde &amp; Co. A consummate legal strategist in the area of political and commercial risk, he also served as a partner at LeBoeuf Lamb Greene &amp; MacRae and Howard Kennedy, Fasken Martineau and CMS. Since 2022, he has held the position of Consultant at Crowell and Moring LLP London.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Paul S. Jordan </w:t>
      </w:r>
      <w:r>
        <w:rPr>
          <w:rFonts w:ascii="Times New Roman;Times;Serif" w:hAnsi="Times New Roman;Times;Serif"/>
          <w:b w:val="false"/>
          <w:i w:val="false"/>
          <w:caps w:val="false"/>
          <w:smallCaps w:val="false"/>
          <w:sz w:val="20"/>
        </w:rPr>
        <w:t>is a motorsport commercial specialist with extensive international sponsorship, acquisitions and communication skills and experience. With an active career in motorsport that spans more than four decades, Mr. Jordan has held senior positions with the world’s top Formula One Teams and some of most recognizable motorsport brands such as Renault Formula One, Jordan Grand Prix, British American Racing Honda and Minardi Formula One. He Was the “Founding Partner” for the “One Make” Racing car series “Grand Prix Masters” with Ex Formula One World Champions, Nigel Mansell, Emerson Fittipladi, Derick Warwick, and Alain Prost. He currently holds consultancy roles with both the Romanian and Cypriot Governments working with their respective Tourism Departments to promote tourism through both Motorsport sponsorship and activation programs. He also continues to consult for M-Sport Ford World Rally Team – Saudi Motorsport as its Head of Motorsport Strategy (KSA Government Organization).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Tamer T. Hassan </w:t>
      </w:r>
      <w:r>
        <w:rPr>
          <w:rFonts w:ascii="Times New Roman;Times;Serif" w:hAnsi="Times New Roman;Times;Serif"/>
          <w:b w:val="false"/>
          <w:i w:val="false"/>
          <w:caps w:val="false"/>
          <w:smallCaps w:val="false"/>
          <w:sz w:val="20"/>
        </w:rPr>
        <w:t xml:space="preserve">is a former boxer and worked in football management before becoming a British actor with a slate of over 60 films. He is best known for his role as the leader of the Millwall firm, opposite </w:t>
      </w:r>
      <w:r>
        <w:rPr>
          <w:rFonts w:ascii="Times New Roman;Times;Serif" w:hAnsi="Times New Roman;Times;Serif"/>
          <w:b w:val="false"/>
          <w:i w:val="false"/>
          <w:caps w:val="false"/>
          <w:smallCaps w:val="false"/>
          <w:sz w:val="20"/>
          <w:u w:val="single"/>
        </w:rPr>
        <w:t>Danny Dyer</w:t>
      </w:r>
      <w:r>
        <w:rPr>
          <w:rFonts w:ascii="Times New Roman;Times;Serif" w:hAnsi="Times New Roman;Times;Serif"/>
          <w:b w:val="false"/>
          <w:i w:val="false"/>
          <w:caps w:val="false"/>
          <w:smallCaps w:val="false"/>
          <w:sz w:val="20"/>
        </w:rPr>
        <w:t>, in “</w:t>
      </w:r>
      <w:r>
        <w:rPr>
          <w:rFonts w:ascii="Times New Roman;Times;Serif" w:hAnsi="Times New Roman;Times;Serif"/>
          <w:b w:val="false"/>
          <w:i w:val="false"/>
          <w:caps w:val="false"/>
          <w:smallCaps w:val="false"/>
          <w:sz w:val="20"/>
          <w:u w:val="single"/>
        </w:rPr>
        <w:t>The Football Factory</w:t>
      </w:r>
      <w:r>
        <w:rPr>
          <w:rFonts w:ascii="Times New Roman;Times;Serif" w:hAnsi="Times New Roman;Times;Serif"/>
          <w:b w:val="false"/>
          <w:i w:val="false"/>
          <w:caps w:val="false"/>
          <w:smallCaps w:val="false"/>
          <w:sz w:val="20"/>
        </w:rPr>
        <w:t>” (2004), “</w:t>
      </w:r>
      <w:r>
        <w:rPr>
          <w:rFonts w:ascii="Times New Roman;Times;Serif" w:hAnsi="Times New Roman;Times;Serif"/>
          <w:b w:val="false"/>
          <w:i w:val="false"/>
          <w:caps w:val="false"/>
          <w:smallCaps w:val="false"/>
          <w:sz w:val="20"/>
          <w:u w:val="single"/>
        </w:rPr>
        <w:t>Layer Cake</w:t>
      </w:r>
      <w:r>
        <w:rPr>
          <w:rFonts w:ascii="Times New Roman;Times;Serif" w:hAnsi="Times New Roman;Times;Serif"/>
          <w:b w:val="false"/>
          <w:i w:val="false"/>
          <w:caps w:val="false"/>
          <w:smallCaps w:val="false"/>
          <w:sz w:val="20"/>
        </w:rPr>
        <w:t xml:space="preserve"> (2004) opposite Daniel Craig, “</w:t>
      </w:r>
      <w:r>
        <w:rPr>
          <w:rFonts w:ascii="Times New Roman;Times;Serif" w:hAnsi="Times New Roman;Times;Serif"/>
          <w:b w:val="false"/>
          <w:i w:val="false"/>
          <w:caps w:val="false"/>
          <w:smallCaps w:val="false"/>
          <w:sz w:val="20"/>
          <w:u w:val="single"/>
        </w:rPr>
        <w:t>Batman Begins</w:t>
      </w:r>
      <w:r>
        <w:rPr>
          <w:rFonts w:ascii="Times New Roman;Times;Serif" w:hAnsi="Times New Roman;Times;Serif"/>
          <w:b w:val="false"/>
          <w:i w:val="false"/>
          <w:caps w:val="false"/>
          <w:smallCaps w:val="false"/>
          <w:sz w:val="20"/>
        </w:rPr>
        <w:t>” (2005), “</w:t>
      </w:r>
      <w:r>
        <w:rPr>
          <w:rFonts w:ascii="Times New Roman;Times;Serif" w:hAnsi="Times New Roman;Times;Serif"/>
          <w:b w:val="false"/>
          <w:i w:val="false"/>
          <w:caps w:val="false"/>
          <w:smallCaps w:val="false"/>
          <w:sz w:val="20"/>
          <w:u w:val="single"/>
        </w:rPr>
        <w:t>The Business</w:t>
      </w:r>
      <w:r>
        <w:rPr>
          <w:rFonts w:ascii="Times New Roman;Times;Serif" w:hAnsi="Times New Roman;Times;Serif"/>
          <w:b w:val="false"/>
          <w:i w:val="false"/>
          <w:caps w:val="false"/>
          <w:smallCaps w:val="false"/>
          <w:sz w:val="20"/>
        </w:rPr>
        <w:t>” (2005), and “Game of Thrones” (2016). Mr. Hasan has recently completed filming for “</w:t>
      </w:r>
      <w:r>
        <w:rPr>
          <w:rFonts w:ascii="Times New Roman;Times;Serif" w:hAnsi="Times New Roman;Times;Serif"/>
          <w:b w:val="false"/>
          <w:i w:val="false"/>
          <w:caps w:val="false"/>
          <w:smallCaps w:val="false"/>
          <w:sz w:val="20"/>
          <w:u w:val="single"/>
        </w:rPr>
        <w:t>The Witcher</w:t>
      </w:r>
      <w:r>
        <w:rPr>
          <w:rFonts w:ascii="Times New Roman;Times;Serif" w:hAnsi="Times New Roman;Times;Serif"/>
          <w:b w:val="false"/>
          <w:i w:val="false"/>
          <w:caps w:val="false"/>
          <w:smallCaps w:val="false"/>
          <w:sz w:val="20"/>
        </w:rPr>
        <w:t>” (Season 2) on Netflix with Henry Cavil. He also remains involved with creative content and participates in voice-over roles. Mr. Hassan’s entrepreneurial skills have led him to participate in large-scale projects in entertainment, sports &amp; leisure, and hospitality. He has a passion for supporting emerging acting talent in Cyprus and is the founder of The Tamer Hassan Academy for Acting.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Warren Macal </w:t>
      </w:r>
      <w:r>
        <w:rPr>
          <w:rFonts w:ascii="Times New Roman;Times;Serif" w:hAnsi="Times New Roman;Times;Serif"/>
          <w:b w:val="false"/>
          <w:i w:val="false"/>
          <w:caps w:val="false"/>
          <w:smallCaps w:val="false"/>
          <w:sz w:val="20"/>
        </w:rPr>
        <w:t>is the Managing Director at Prosperity Investment Management (“PIM”) and the head of its PIM Motorsport Investment Division. He brings more than 15 years of extensive experience in wealth management and strategic financial planning to the Company. Specializing in the financial needs of high-net-worth individuals and professional athletes, particularly in the motorsports arena, his expertise will be invaluable as SEGG Media continues to expand its global reach and product offerings and develops its Sports.com brand.</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Executive Officers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Stubblefield, our Chief Financial Officer (“CFO”), Interim Chief Executive Officer and Interim President, serves at the discretion of our Board and holds office until his successor is duly appointed or until his earlier resignation or removal.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Potts, our Chief Operating Officer (“COO”) serves at the discretion of our Board and holds office until his successor is duly appointed or until his earlier resignation or removal.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Bailey, our Chief Commercial Officer (“CCO”) serves at the discretion of our Board and holds office until his successor is duly appointed or until his earlier resignation or removal.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Clarke, our Chief Strategy Officer (“CSO”) serves at the discretion of our Board and holds office until his successor is duly appointed or until his earlier resignation or removal.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Composition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consists of seven directors. Each of our current directors will continue to serve as a director until the election and qualification of his successor or until his earlier death, resignation, or removal. The authorized number of directors may be changed by resolution of our Board. Vacancies on our Board may be filled by resolution of our Board.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5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consists of Marc Bircham Christopher Gooding, Paul S. Jordan, Tamer T. Hassan, Robert J. Stubblefield, Daniel Bailey and Warren Macal, with Mr. Bircham acting as chairman of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affirmatively determined that each of Messrs. Gooding, Jordan, Hassan and Macal is an “independent director” under the Nasdaq listing rules applicable to board members. For more details, see the section entitled “Independence of our Board.”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5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divided into three classes with only one class of directors being elected in each year, and with each class serving a three-year term:</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I directors are Mr. Gooding and Mr. Macal, and their terms will expire at the 2026 annual meeting of stockholders;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sole Class II directors are Mr. Bircham, Mr. Jordan and Mr. Stubblefield, whose terms will expire at the 2027 annual meeting of stockholders;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III directors are Mr. Bailey and Mr. Hassan, and their terms will expire at the 2028 annual meeting of stockholders.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staggered Board, only one class of directors will be elected at each annual meeting of stockholders, with the other classes continuing for the remainder of their respective terms. At any meeting of stockholders at which directors are to be elected, the number of directors elected may not exceed the greatest number of directors then in office in any class of directors. The members of each class will hold office until the annual meeting stated above when their term expires and until their successors are elected and qualified. At each succeeding annual meeting of the stockholders, the successors to the class of directors whose term expires at that meeting will be elected by plurality vote of all votes cast at such meeting to hold office for a term expiring at the annual meeting of stockholders held in the third year following the year of their election and until their successors are elected and qualified. Subject to the rights, if any, of the holders of any series of preferred stock to elect additional directors under circumstances specified in a preferred stock designation, directors may be elected by the stockholders only at an annual meeting of stockholders.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Independence of our Board and Executive Officer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information provided by each director concerning his background, employment, and affiliations, our Board has determined that the Board meets independence standards under the applicable rules and regulations of the SEC and the listing standards of Nasdaq. There are no family relationships among any of our directors and executive officers. In making these determinations, our Board considered the current and prior relationships that each non-employee director has with our company and all other facts and circumstances our Board deemed relevant in determining their independence, including the beneficial ownership of our capital stock by each non-employee director, and the transactions involving them described under the heading “</w:t>
      </w:r>
      <w:r>
        <w:rPr>
          <w:rFonts w:ascii="Times New Roman;Times;Serif" w:hAnsi="Times New Roman;Times;Serif"/>
          <w:b w:val="false"/>
          <w:i/>
          <w:caps w:val="false"/>
          <w:smallCaps w:val="false"/>
          <w:sz w:val="20"/>
        </w:rPr>
        <w:t>Item 13. Certain Relationships and Related Party Transactions, and Director Independence.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three standing committees: an Audit Committee a Compensation Committee, and a Nominating and Corporate Governance Committee. Each of the committees reports to the Board as it deems appropriate and as the Board may request. The composition, duties and responsibilities of these committees are set forth below. In the future, our Board may establish other committees, as it deems appropriate, to assist it with its responsibilities.</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three members of our Board who serve as members of our Audit Committee, Messrs. Gooding, Hassan and Macal. Mr. Gooding is the chairman of our Audit Committee. All members of the Audit Committee are “independent” in accordance with the Nasdaq Rules (as defined below) and rules of the U.S. Securities and Exchange Commission (the “SEC”) applicable to boards of directors in general and Audit Committee members in particular. The Board has determined that each member of the Audit Committee is “financially literate” within the meaning of the Nasdaq Rules because each member is able to read and understand fundamental financial statements, including the Company’s balance sheet, income statement and cash flow statement. In addition, the Board has determined that Mr. Gooding qualifies as an “audit committee financial expert” as defined by Item 407(d) of Regulation S-K, and therefore, also satisfies the “financial sophistication” requirement in accordance with Nasdaq Rule 5605(c)(2)(A). The Board reached its conclusion as to Mr. Gooding qualifications based on, among other things, his business background.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6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duties and responsibilities of the Audit Committee include: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duties and responsibilities delegated to it by the Board, including overseeing our financial reporting policies, our internal controls, and our compliance with legal and regulatory requirements applicable to financial statements and accounting and financial reporting processes;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directly responsible for the appointment, retention, replacement and oversight of our independent registered public accounting firm and reviewing and evaluating its qualifications, performance and independence;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pre-approving the audit and non-audit services and the payment of compensation to the independent registered public accounting firm;</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reports from, and material written communications between, management and the independent registered public accounting firm, including with respect to issues as to the adequacy of the Company’s internal controls;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any related person transaction that is required to be disclosed pursuant to Item 404(a) of Regulation S-K promulgated by the SEC and prior to our entering into such transaction;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with management and the independent registered public accounting firm our guidelines and policies with respect to risk assessment and risk management; and</w:t>
            </w:r>
          </w:p>
        </w:tc>
      </w:tr>
    </w:tbl>
    <w:p>
      <w:pPr>
        <w:pStyle w:val="TextBody"/>
        <w:bidi w:val="0"/>
        <w:spacing w:before="0" w:after="0"/>
        <w:jc w:val="left"/>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17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Audit Committee Charter and the Audit Committee’s performance at least annually.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reporting and disclosure matters, the Audit Committee is also responsible for reviewing and discussing with the independent registered public accounting firm and management our annual audited financial statements and our quarterly financial statements prior to their inclusion in our Annual Reports on Form 10-K, Quarterly Reports on Form 10-Q or other publicly disseminated materials in accordance with the applicable SEC rules and regulations.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Compensation Committee are Messrs. Hassan, Gooding and Macal. Mr. Hassan is the chairman of our Compensation Committee. All members of the Compensation Committee are “independent” in accordance with the Nasdaq Rules and SEC rules applicable to boards of directors in general and compensation committees in particular. In addition, at least two members of the Compensation Committee qualify as “non-employee directors” for purposes of Rule 16b-3 under the Exchange Act.</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0" w:right="0" w:firstLine="893"/>
        <w:jc w:val="both"/>
        <w:rPr>
          <w:caps w:val="false"/>
          <w:smallCaps w:val="false"/>
        </w:rPr>
      </w:pPr>
      <w:r>
        <w:rPr>
          <w:caps w:val="false"/>
          <w:smallCaps w:val="false"/>
        </w:rPr>
        <w:t> </w:t>
      </w:r>
    </w:p>
    <w:p>
      <w:pPr>
        <w:pStyle w:val="TextBody"/>
        <w:bidi w:val="0"/>
        <w:spacing w:before="0" w:after="0"/>
        <w:ind w:left="0" w:right="0" w:firstLine="89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responsible for reviewing and overseeing our compensation policies and practices and meets regularly throughout the year to review and discuss, among other items, our compensation philosophy, changes in compensation governance, and compliance rules and best practices. With respect to executive compensation, the Compensation Committee: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annually reviews and approves corporate goals and objectives relevant to the compensation of our CEO and other executive officers;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evaluates, as a committee or together with the other independent directors (as directed by the Board), the performance of our CEO and other executive officers in light of such corporate goals and objectives, as well as their individual achievements;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approves and recommends to our Board for approval of the compensation of our CEO and other executive officers based on this evaluation;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periodically reviews and approves of all elements of our CEO’s and other executive officers’ compensation, including cash-based and equity-based awards and opportunities, as well as any employment agreements and severance agreements, change in control agreements and special or supplemental compensation and benefits.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Nominating and Corporate Governance Committee (“NCG Committee”) are Messrs. Gooding, Jordan and Hassan. Mr. Gooding is the chairman of our NCG Committee. All members of the NCG Committee are “independent” in accordance with the Nasdaq Rules and SEC rules applicable to boards of directors in general and nominating committees in particular.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nominations are approved by a vote of a majority of our directors, each of whom is independent, as required under the Nasdaq rules and regulations. We believe that the current process in place functions effectively to select director nominees who will be valuable members of our Board of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identify potential nominees to serve as directors through a variety of business contacts, including current executive officers, directors and stockholders. We may, to the extent they deem appropriate, retain a professional search firm and other advisors to identify potential nominees.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Board as a whole should encompass a range of talent, skill, and expertise enabling it to provide sound guidance with respect to our operations and interests. Our independent directors evaluate all candidates to our Board by reviewing their biographical information and qualifications and having each candidate vetted by outside legal counsel.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 and Corporate Governance Guidelines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Corporate Governance Guidelines</w:t>
      </w:r>
      <w:r>
        <w:rPr>
          <w:rFonts w:ascii="Times New Roman;Times;Serif" w:hAnsi="Times New Roman;Times;Serif"/>
          <w:b w:val="false"/>
          <w:i w:val="false"/>
          <w:caps w:val="false"/>
          <w:smallCaps w:val="false"/>
          <w:sz w:val="20"/>
        </w:rPr>
        <w:t xml:space="preserve">. The Board has adopted Corporate Governance Guidelines designed to support effective oversight and independent decision-making with respect to the Company’s business and affairs </w:t>
      </w:r>
      <w:r>
        <w:rPr>
          <w:rFonts w:ascii="Times New Roman;Times;Serif" w:hAnsi="Times New Roman;Times;Serif"/>
          <w:b w:val="false"/>
          <w:i w:val="false"/>
          <w:caps w:val="false"/>
          <w:smallCaps w:val="false"/>
          <w:sz w:val="20"/>
          <w:u w:val="single"/>
        </w:rPr>
        <w:t>Gorman v. Salamone, 2015 Del. Ch. LEXIS 202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Spradlin v. E. Coast Miner, LLC (In re Licking River Mining, LLC), 599 B.R. 552</w:t>
      </w:r>
      <w:r>
        <w:rPr>
          <w:rFonts w:ascii="Times New Roman;Times;Serif" w:hAnsi="Times New Roman;Times;Serif"/>
          <w:b w:val="false"/>
          <w:i w:val="false"/>
          <w:caps w:val="false"/>
          <w:smallCaps w:val="false"/>
          <w:sz w:val="20"/>
        </w:rPr>
        <w:t>. The Guidelines address, among other matters, Board and committee composition, director selection and performance evaluation practices, Board meeting practices, director qualifications and expectations (including continuing education), and management succession planning, including CEO succession.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Code of Business Conduct and Ethics</w:t>
      </w:r>
      <w:r>
        <w:rPr>
          <w:rFonts w:ascii="Times New Roman;Times;Serif" w:hAnsi="Times New Roman;Times;Serif"/>
          <w:b w:val="false"/>
          <w:i w:val="false"/>
          <w:caps w:val="false"/>
          <w:smallCaps w:val="false"/>
          <w:sz w:val="20"/>
        </w:rPr>
        <w:t>. The Company maintains a Code of Business Conduct and Ethics applicable to all directors, officers, and employees, including the Chairperson, Chief Executive Officer, and other members of management. The Code establishes standards for ethical conduct, including conflicts of interest, compliance with applicable laws and regulations, accurate and timely disclosures, protection and proper use of Company assets, and mechanisms for reporting suspected illegal or unethical conduct.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Code is intended to satisfy the requirements applicable to a public company code of ethics disclosure framework under federal securities disclosure rules. Any amendment to, or waiver of, the Code applicable to senior executive or senior financial leadership roles will be disclosed in accordance with applicable federal securities disclosure requirements, including, where permitted, by posting the information on the Company’s website rather than filing a current report.</w:t>
      </w:r>
    </w:p>
    <w:p>
      <w:pPr>
        <w:pStyle w:val="TextBody"/>
        <w:shd w:fill="FFFFFF" w:val="clear"/>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the Code must be approved by the Board and, except for technical, administrative, or non-substantive changes, will be promptly disclosed through the Company’s website disclosure practices. A copy of the Code is available without charge upon written request directed to the Company’s corporate headquarters, attention: Compliance Manager.</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securities law requires certain insiders—executive officers, directors, and beneficial owners of more than a specified threshold of a registered class of equity securities—to file initial ownership reports and reports of changes in ownership with the securities regulator. Based on a review of available filings and written representations from executive officers and directors, the Company believes that certain executive officers and directors did not timely comply with these reporting obligations during the fiscal year ended December 31, 2024. The Company further states that, as of the date of this disclosure, all executive officers and directors are currently in compliance with the applicable filing requirements.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839" w:name="sk_007"/>
      <w:bookmarkEnd w:id="839"/>
      <w:r>
        <w:rPr>
          <w:rFonts w:ascii="Times New Roman;Times;Serif" w:hAnsi="Times New Roman;Times;Serif"/>
          <w:b/>
          <w:i w:val="false"/>
          <w:caps w:val="false"/>
          <w:smallCaps w:val="false"/>
          <w:sz w:val="20"/>
        </w:rPr>
        <w:t>Item 11. Executive Compensation.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material components of the executive compensation program for the Company’s named executive officers for fiscal year 2025. The discussion may include forward-looking statements reflecting current plans and expectations regarding future compensation practices, and actual future programs may differ materially from those described.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the Company has elected to provide executive compensation disclosure consistent with the scaled disclosure framework available to smaller reporting companies, which generally requires disclosure for the principal executive officer and the next two most highly compensated executive officers.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stated objectives of the executive compensation program are to attract and retain talented executives to manage and lead the Company. For fiscal year 2025, the Company identifies the following individuals as named executive officers: (i) Robert Stubblefield, Interim Chief Executive Officer (effective November 30, 2025), and Matthew McGahan, former Chief Executive Officer (through November 30, 2025); and (ii) Gregory Potts, Chief Operating Officer, and Robert Stubblefield, Chief Financial Officer.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summary information concerning compensation of our named executive officers for services rendered to us during the years noted.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79"/>
        <w:gridCol w:w="60"/>
        <w:gridCol w:w="60"/>
        <w:gridCol w:w="500"/>
        <w:gridCol w:w="60"/>
        <w:gridCol w:w="60"/>
        <w:gridCol w:w="60"/>
        <w:gridCol w:w="800"/>
        <w:gridCol w:w="60"/>
        <w:gridCol w:w="60"/>
        <w:gridCol w:w="60"/>
        <w:gridCol w:w="800"/>
        <w:gridCol w:w="60"/>
        <w:gridCol w:w="60"/>
        <w:gridCol w:w="60"/>
        <w:gridCol w:w="802"/>
        <w:gridCol w:w="60"/>
        <w:gridCol w:w="60"/>
        <w:gridCol w:w="60"/>
        <w:gridCol w:w="800"/>
        <w:gridCol w:w="60"/>
        <w:gridCol w:w="60"/>
        <w:gridCol w:w="576"/>
        <w:gridCol w:w="914"/>
        <w:gridCol w:w="60"/>
        <w:gridCol w:w="60"/>
        <w:gridCol w:w="67"/>
        <w:gridCol w:w="1251"/>
        <w:gridCol w:w="60"/>
        <w:gridCol w:w="60"/>
        <w:gridCol w:w="60"/>
        <w:gridCol w:w="980"/>
        <w:gridCol w:w="76"/>
      </w:tblGrid>
      <w:tr>
        <w:trPr/>
        <w:tc>
          <w:tcPr>
            <w:tcW w:w="137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Non-Equity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76" w:type="dxa"/>
            <w:tcBorders/>
            <w:vAlign w:val="center"/>
          </w:tcPr>
          <w:p>
            <w:pPr>
              <w:pStyle w:val="TableContents"/>
              <w:bidi w:val="0"/>
              <w:spacing w:before="0" w:after="283"/>
              <w:jc w:val="left"/>
              <w:rPr/>
            </w:pPr>
            <w:r>
              <w:rPr/>
              <w:t> </w:t>
            </w:r>
          </w:p>
        </w:tc>
      </w:tr>
      <w:tr>
        <w:trPr/>
        <w:tc>
          <w:tcPr>
            <w:tcW w:w="137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gridSpan w:val="2"/>
            <w:tcBorders/>
            <w:vAlign w:val="center"/>
          </w:tcPr>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Incentive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8" w:type="dxa"/>
            <w:gridSpan w:val="2"/>
            <w:tcBorders/>
            <w:vAlign w:val="center"/>
          </w:tcPr>
          <w:p>
            <w:pPr>
              <w:pStyle w:val="TableContents"/>
              <w:bidi w:val="0"/>
              <w:spacing w:before="0" w:after="283"/>
              <w:jc w:val="center"/>
              <w:rPr>
                <w:b/>
              </w:rPr>
            </w:pPr>
            <w:r>
              <w:rPr>
                <w:b/>
              </w:rPr>
              <w:t>All 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76" w:type="dxa"/>
            <w:tcBorders/>
            <w:vAlign w:val="center"/>
          </w:tcPr>
          <w:p>
            <w:pPr>
              <w:pStyle w:val="TableContents"/>
              <w:bidi w:val="0"/>
              <w:spacing w:before="0" w:after="283"/>
              <w:jc w:val="left"/>
              <w:rPr/>
            </w:pPr>
            <w:r>
              <w:rPr/>
              <w:t> </w:t>
            </w:r>
          </w:p>
        </w:tc>
      </w:tr>
      <w:tr>
        <w:trPr/>
        <w:tc>
          <w:tcPr>
            <w:tcW w:w="137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Salary</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Bonus</w:t>
            </w:r>
            <w:r>
              <w:rPr>
                <w:rFonts w:ascii="Times New Roman;Times;Serif" w:hAnsi="Times New Roman;Times;Serif"/>
                <w:b/>
                <w:position w:val="7"/>
                <w:sz w:val="16"/>
                <w:sz w:val="20"/>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Awards</w:t>
            </w:r>
            <w:r>
              <w:rPr>
                <w:rFonts w:ascii="Times New Roman;Times;Serif" w:hAnsi="Times New Roman;Times;Serif"/>
                <w:b/>
                <w:position w:val="7"/>
                <w:sz w:val="16"/>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8"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w:t>
            </w:r>
            <w:r>
              <w:rPr>
                <w:rFonts w:ascii="Times New Roman;Times;Serif" w:hAnsi="Times New Roman;Times;Serif"/>
                <w:b/>
                <w:position w:val="7"/>
                <w:sz w:val="16"/>
                <w:sz w:val="20"/>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Total</w:t>
            </w:r>
          </w:p>
        </w:tc>
        <w:tc>
          <w:tcPr>
            <w:tcW w:w="76" w:type="dxa"/>
            <w:tcBorders/>
            <w:vAlign w:val="center"/>
          </w:tcPr>
          <w:p>
            <w:pPr>
              <w:pStyle w:val="TableContents"/>
              <w:bidi w:val="0"/>
              <w:spacing w:before="0" w:after="283"/>
              <w:jc w:val="left"/>
              <w:rPr/>
            </w:pPr>
            <w:r>
              <w:rPr/>
              <w:t> </w:t>
            </w:r>
          </w:p>
        </w:tc>
      </w:tr>
      <w:tr>
        <w:trPr/>
        <w:tc>
          <w:tcPr>
            <w:tcW w:w="1379" w:type="dxa"/>
            <w:tcBorders>
              <w:bottom w:val="single" w:sz="8" w:space="0" w:color="000000"/>
            </w:tcBorders>
            <w:tcMar>
              <w:bottom w:w="28" w:type="dxa"/>
            </w:tcMar>
            <w:vAlign w:val="center"/>
          </w:tcPr>
          <w:p>
            <w:pPr>
              <w:pStyle w:val="TableContents"/>
              <w:bidi w:val="0"/>
              <w:spacing w:before="0" w:after="283"/>
              <w:jc w:val="left"/>
              <w:rPr>
                <w:b/>
              </w:rPr>
            </w:pPr>
            <w:r>
              <w:rPr>
                <w:b/>
              </w:rPr>
              <w:t>Name and Principal Position</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6" w:type="dxa"/>
            <w:tcBorders/>
            <w:vAlign w:val="center"/>
          </w:tcPr>
          <w:p>
            <w:pPr>
              <w:pStyle w:val="TableContents"/>
              <w:bidi w:val="0"/>
              <w:spacing w:before="0" w:after="283"/>
              <w:jc w:val="left"/>
              <w:rPr/>
            </w:pPr>
            <w:r>
              <w:rPr/>
              <w:t> </w:t>
            </w:r>
          </w:p>
        </w:tc>
      </w:tr>
      <w:tr>
        <w:trPr/>
        <w:tc>
          <w:tcPr>
            <w:tcW w:w="137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Matthew McGahan, </w:t>
            </w:r>
            <w:r>
              <w:rPr>
                <w:rFonts w:ascii="Times New Roman;Times;Serif" w:hAnsi="Times New Roman;Times;Serif"/>
                <w:b/>
                <w:i/>
                <w:sz w:val="20"/>
              </w:rPr>
              <w:t>CEO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385,000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1,405,000</w:t>
            </w:r>
          </w:p>
        </w:tc>
        <w:tc>
          <w:tcPr>
            <w:tcW w:w="76" w:type="dxa"/>
            <w:tcBorders/>
            <w:shd w:fill="CCEEFF" w:val="clear"/>
            <w:vAlign w:val="center"/>
          </w:tcPr>
          <w:p>
            <w:pPr>
              <w:pStyle w:val="TableContents"/>
              <w:bidi w:val="0"/>
              <w:spacing w:before="0" w:after="283"/>
              <w:jc w:val="left"/>
              <w:rPr/>
            </w:pPr>
            <w:r>
              <w:rPr/>
              <w:t> </w:t>
            </w:r>
          </w:p>
        </w:tc>
      </w:tr>
      <w:tr>
        <w:trPr/>
        <w:tc>
          <w:tcPr>
            <w:tcW w:w="1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554,583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554,583 </w:t>
            </w:r>
          </w:p>
        </w:tc>
        <w:tc>
          <w:tcPr>
            <w:tcW w:w="76" w:type="dxa"/>
            <w:tcBorders/>
            <w:shd w:fill="CCEEFF" w:val="clear"/>
            <w:vAlign w:val="center"/>
          </w:tcPr>
          <w:p>
            <w:pPr>
              <w:pStyle w:val="TableContents"/>
              <w:bidi w:val="0"/>
              <w:spacing w:before="0" w:after="283"/>
              <w:jc w:val="left"/>
              <w:rPr/>
            </w:pPr>
            <w:r>
              <w:rPr/>
              <w:t> </w:t>
            </w:r>
          </w:p>
        </w:tc>
      </w:tr>
      <w:tr>
        <w:trPr/>
        <w:tc>
          <w:tcPr>
            <w:tcW w:w="137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Robert Stubblefield, </w:t>
            </w:r>
            <w:r>
              <w:rPr>
                <w:rFonts w:ascii="Times New Roman;Times;Serif" w:hAnsi="Times New Roman;Times;Serif"/>
                <w:b/>
                <w:i/>
                <w:sz w:val="20"/>
              </w:rPr>
              <w:t>CFO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302,500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75,625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133,000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657,375</w:t>
            </w:r>
          </w:p>
        </w:tc>
        <w:tc>
          <w:tcPr>
            <w:tcW w:w="76" w:type="dxa"/>
            <w:tcBorders/>
            <w:shd w:fill="FFFFFF" w:val="clear"/>
            <w:vAlign w:val="center"/>
          </w:tcPr>
          <w:p>
            <w:pPr>
              <w:pStyle w:val="TableContents"/>
              <w:bidi w:val="0"/>
              <w:spacing w:before="0" w:after="283"/>
              <w:jc w:val="left"/>
              <w:rPr/>
            </w:pPr>
            <w:r>
              <w:rPr/>
              <w:t> </w:t>
            </w:r>
          </w:p>
        </w:tc>
      </w:tr>
      <w:tr>
        <w:trPr/>
        <w:tc>
          <w:tcPr>
            <w:tcW w:w="1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346,688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108,396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530,084</w:t>
            </w:r>
          </w:p>
        </w:tc>
        <w:tc>
          <w:tcPr>
            <w:tcW w:w="76" w:type="dxa"/>
            <w:tcBorders/>
            <w:shd w:fill="FFFFFF" w:val="clear"/>
            <w:vAlign w:val="center"/>
          </w:tcPr>
          <w:p>
            <w:pPr>
              <w:pStyle w:val="TableContents"/>
              <w:bidi w:val="0"/>
              <w:spacing w:before="0" w:after="283"/>
              <w:jc w:val="left"/>
              <w:rPr/>
            </w:pPr>
            <w:r>
              <w:rPr/>
              <w:t> </w:t>
            </w:r>
          </w:p>
        </w:tc>
      </w:tr>
      <w:tr>
        <w:trPr/>
        <w:tc>
          <w:tcPr>
            <w:tcW w:w="137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Gregory Potts, </w:t>
            </w:r>
            <w:r>
              <w:rPr>
                <w:rFonts w:ascii="Times New Roman;Times;Serif" w:hAnsi="Times New Roman;Times;Serif"/>
                <w:b/>
                <w:i/>
                <w:sz w:val="20"/>
              </w:rPr>
              <w:t>COO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388,750</w:t>
            </w:r>
          </w:p>
        </w:tc>
        <w:tc>
          <w:tcPr>
            <w:tcW w:w="76" w:type="dxa"/>
            <w:tcBorders/>
            <w:shd w:fill="CCEEFF" w:val="clear"/>
            <w:vAlign w:val="center"/>
          </w:tcPr>
          <w:p>
            <w:pPr>
              <w:pStyle w:val="TableContents"/>
              <w:bidi w:val="0"/>
              <w:spacing w:before="0" w:after="283"/>
              <w:jc w:val="left"/>
              <w:rPr/>
            </w:pPr>
            <w:r>
              <w:rPr/>
              <w:t> </w:t>
            </w:r>
          </w:p>
        </w:tc>
      </w:tr>
      <w:tr>
        <w:trPr/>
        <w:tc>
          <w:tcPr>
            <w:tcW w:w="1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425,900</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reflect the pro-rated portion of the NEO’s base salary earned during the fiscal year presented based on time in the role.</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value of stock awards. Amount represents the aggregate grant date fair value of common stock share awards made to the named executive officer computed in accordance with Financial Accounting Standards Codification Topic 718, Compensation - Stock Compensation (“Topic 718”). As required by SEC rules, awards are reported in the year of grant. For more information, see “</w:t>
            </w:r>
            <w:r>
              <w:rPr>
                <w:rFonts w:ascii="Times New Roman;Times;Serif" w:hAnsi="Times New Roman;Times;Serif"/>
                <w:b w:val="false"/>
                <w:i/>
                <w:caps w:val="false"/>
                <w:smallCaps w:val="false"/>
                <w:sz w:val="20"/>
              </w:rPr>
              <w:t>Narrative Disclosure to Summary Compensation Table — Supplemental Table</w:t>
            </w:r>
            <w:r>
              <w:rPr>
                <w:rFonts w:ascii="Times New Roman;Times;Serif" w:hAnsi="Times New Roman;Times;Serif"/>
                <w:b w:val="false"/>
                <w:i w:val="false"/>
                <w:caps w:val="false"/>
                <w:smallCaps w:val="false"/>
                <w:sz w:val="20"/>
              </w:rPr>
              <w:t>” below.</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Refers to any annual bonus, each of which is subject to the approval of the Compensation Committee of the Board.</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investigating any potential U.S. tax consequences as the result of Company employees or directors who resided for extended periods of time at the Company’s Boca Raton, Florida, campus while conducting business. As appropriate, individual tax assessments are being determined and will be applied according to U.S. tax law</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the 2021 Equity Incentive Plan (the “2021 Plan”), which was adopted in connection with the Company’s business combination and subsequently amended and restated on December 21, 2021. The 2021 Plan provides for the grant of equity-based awards, including stock options, restricted stock, restricted stock units and other stock-based awards, to employees, directors and consultants of the Company and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the Company’s common stock issuable under the 2021 Plan have been registered pursuant to a registration statement on Form S-8 filed with the Securities and Exchange Commission. The number of shares reserved for issuance under the 2021 Plan is subject to adjustment in the event of stock splits, recapitalizations and similar transactions, and may include an “evergreen” provision pursuant to which the share reserve may be increased periodically as provided in the 2021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Fiscal 2025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there were no S-8 common stock grants to our executive officers.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additional S-8 common stock was awarded to Matthew McGahan, CEO, who received a 175,000 share common stock grant (issued subsequently on January 22, 2024), Robert Stubblefield, CFO, received 20,000 shares of common stock and Greg Potts, COO, received 5,000 shares of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restricted stock units for common stock were awarded to Matthew McGahan, CEO, who received a grant for 195,720 restricted stock units (issued subsequently on February 5, 2024), Robert Stubblefield, CFO, received a grant for 75,000 restricted stock units, and Greg Potts, COO, received a grant for 20,000 restricted stock units.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options for common stock were awarded to Matthew McGahan, CEO, who received a grant for 100,000 stock options (issued subsequently on February 5, 2024), Robert Stubblefield, CFO, received a grant for 75,000 stock options, and Greg Potts, COO, received a grant for 25,000 restricted stock units.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Compensation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Base Salary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8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salaries are generally set at levels deemed necessary to attract and retain our executives. We provide each named executive officer with a base salary for the services that the executive officer performs for us. This compensation component constitutes a stable element of compensation while other compensation elements may be variable. Base salaries are generally reviewed annually and may be increased based on any number of factors at the discretion of the Compensation Committee, including the individual performance of the named executive officer, company performance, any change in the executive’s position within our business, the scope of their responsibilities and market data. For fiscal 2025 and 2024, the amounts earned by our named executive officers are shown in the Summary Compensation Table above.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Bonuses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8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base salaries, the named executive officers may receive discretionary annual bonuses, guaranteed or retention bonuses at the discretion of the Compensation Committee.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Retirement Benefits, and Termination and Change in Control Provisions on December 31, 2025 and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pension or retirement benefits pursuant to any existing plan provided or contributed to by the Company or any of its subsidiaries. In addition, there were no termination and change in control provisions in effect for our NEOs.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on December 31, 2025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8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equity awards to executive officers in 2025.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8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our executive officers, Matthew McGahan, CEO, Robert Stubblefield, CFO and Gregory Potts, COO, each received equity awards in 2024. Matthew McGahan, CEO, received a 125,000 share common stock grant, Robert Stubblefield, CFO, received 25,000 shares of common stock and Gregory Potts, COO, received 25,000 shares of common stock.</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8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2023, our Board reconfirmed a Non-Employee Director Compensation program providing for a cash fee of $6,000 USD per month per director ($72,000 USD per year). Such plan is a continuation of the Non-Employee Director Compensation program that was established and approved by the previous Board of Directors. Total cash fees paid to our directors under this program during fiscal 2025 and fiscal 2024 were $42,000 and $15,000,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total compensation earned by each of our directors for their service on the Board during fiscal 2025:</w:t>
      </w:r>
    </w:p>
    <w:p>
      <w:pPr>
        <w:pStyle w:val="TextBody"/>
        <w:bidi w:val="0"/>
        <w:spacing w:before="0" w:after="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2330"/>
        <w:gridCol w:w="60"/>
        <w:gridCol w:w="102"/>
        <w:gridCol w:w="1372"/>
        <w:gridCol w:w="60"/>
        <w:gridCol w:w="60"/>
        <w:gridCol w:w="318"/>
        <w:gridCol w:w="1141"/>
        <w:gridCol w:w="60"/>
        <w:gridCol w:w="60"/>
        <w:gridCol w:w="60"/>
        <w:gridCol w:w="800"/>
        <w:gridCol w:w="75"/>
      </w:tblGrid>
      <w:tr>
        <w:trPr/>
        <w:tc>
          <w:tcPr>
            <w:tcW w:w="2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4" w:type="dxa"/>
            <w:gridSpan w:val="2"/>
            <w:tcBorders/>
            <w:vAlign w:val="center"/>
          </w:tcPr>
          <w:p>
            <w:pPr>
              <w:pStyle w:val="TableContents"/>
              <w:bidi w:val="0"/>
              <w:spacing w:before="0" w:after="283"/>
              <w:jc w:val="center"/>
              <w:rPr>
                <w:b/>
              </w:rPr>
            </w:pPr>
            <w:r>
              <w:rPr>
                <w:b/>
              </w:rPr>
              <w:t>Directors Fees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1474" w:type="dxa"/>
            <w:gridSpan w:val="2"/>
            <w:tcBorders/>
            <w:vAlign w:val="center"/>
          </w:tcPr>
          <w:p>
            <w:pPr>
              <w:pStyle w:val="TableContents"/>
              <w:bidi w:val="0"/>
              <w:spacing w:before="0" w:after="283"/>
              <w:jc w:val="center"/>
              <w:rPr>
                <w:b/>
              </w:rPr>
            </w:pPr>
            <w:r>
              <w:rPr>
                <w:b/>
              </w:rPr>
              <w:t>Earned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9" w:type="dxa"/>
            <w:gridSpan w:val="2"/>
            <w:tcBorders/>
            <w:vAlign w:val="center"/>
          </w:tcPr>
          <w:p>
            <w:pPr>
              <w:pStyle w:val="TableContents"/>
              <w:bidi w:val="0"/>
              <w:spacing w:before="0" w:after="283"/>
              <w:jc w:val="center"/>
              <w:rPr>
                <w:b/>
              </w:rPr>
            </w:pPr>
            <w:r>
              <w:rPr>
                <w:b/>
              </w:rPr>
              <w:t>Stock Awards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center"/>
              <w:rPr/>
            </w:pPr>
            <w:r>
              <w:rPr/>
              <w:t> </w:t>
            </w:r>
          </w:p>
        </w:tc>
      </w:tr>
      <w:tr>
        <w:trPr/>
        <w:tc>
          <w:tcPr>
            <w:tcW w:w="23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center"/>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r>
              <w:rPr>
                <w:b/>
                <w:position w:val="8"/>
                <w:sz w:val="19"/>
              </w:rPr>
              <w:t>(8)</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r>
              <w:rPr>
                <w:b/>
                <w:position w:val="8"/>
                <w:sz w:val="19"/>
              </w:rPr>
              <w:t>(9)</w:t>
            </w:r>
          </w:p>
        </w:tc>
        <w:tc>
          <w:tcPr>
            <w:tcW w:w="75" w:type="dxa"/>
            <w:tcBorders/>
            <w:vAlign w:val="center"/>
          </w:tcPr>
          <w:p>
            <w:pPr>
              <w:pStyle w:val="TableContents"/>
              <w:bidi w:val="0"/>
              <w:spacing w:before="0" w:after="283"/>
              <w:jc w:val="center"/>
              <w:rPr/>
            </w:pPr>
            <w:r>
              <w:rPr/>
              <w:t> </w:t>
            </w:r>
          </w:p>
        </w:tc>
      </w:tr>
      <w:tr>
        <w:trPr/>
        <w:tc>
          <w:tcPr>
            <w:tcW w:w="2330" w:type="dxa"/>
            <w:tcBorders/>
            <w:shd w:fill="CCEEFF" w:val="clear"/>
            <w:vAlign w:val="center"/>
          </w:tcPr>
          <w:p>
            <w:pPr>
              <w:pStyle w:val="TableContents"/>
              <w:bidi w:val="0"/>
              <w:spacing w:before="0" w:after="283"/>
              <w:jc w:val="left"/>
              <w:rPr/>
            </w:pPr>
            <w:r>
              <w:rPr/>
              <w:t xml:space="preserve">Matthew McGahan </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72,000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72,000</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Marc Bircham</w:t>
            </w:r>
            <w:r>
              <w:rPr>
                <w:position w:val="8"/>
                <w:sz w:val="19"/>
              </w:rPr>
              <w:t>(3)</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130,918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130,918</w:t>
            </w:r>
          </w:p>
        </w:tc>
        <w:tc>
          <w:tcPr>
            <w:tcW w:w="75"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 xml:space="preserve">Christopher Gooding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137,000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137,000</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 xml:space="preserve">Paul S. Jordan </w:t>
            </w:r>
            <w:r>
              <w:rPr>
                <w:position w:val="8"/>
                <w:sz w:val="19"/>
              </w:rPr>
              <w:t>(5)</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137,000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137,000</w:t>
            </w:r>
          </w:p>
        </w:tc>
        <w:tc>
          <w:tcPr>
            <w:tcW w:w="75"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 xml:space="preserve">Tamer T. Hassan </w:t>
            </w:r>
            <w:r>
              <w:rPr>
                <w:position w:val="8"/>
                <w:sz w:val="19"/>
              </w:rPr>
              <w:t>(6)</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137,000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137,000</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 xml:space="preserve">Warren Macal </w:t>
            </w:r>
            <w:r>
              <w:rPr>
                <w:position w:val="8"/>
                <w:sz w:val="19"/>
              </w:rPr>
              <w:t>(7)</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137,000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137,000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all directors who served on our Board during fiscal 2025. Amounts accrued per director may include an $85,000 USD initial fee earned after 3 months of service, which is to be paid in stock. During 2025, this fee was earned by Mr. Bircham and during 2024 this fee was only earned by Mr. Macal.</w:t>
            </w:r>
          </w:p>
        </w:tc>
      </w:tr>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McGahan was appointed to our Board on October 19, 2022, and served as a non-employee director until his initial appointment as Interim CEO, on July 20, 2023. During said time, compensation for Mr. McGahan was accrued for his service on the Board during fiscal 2023 and 2024 at the rate of $6,000 per month as for any other director. No stock was awarded to him pertaining to his role as a non-employee director, stock was only granted in relation to his role as CEO of the Company. Board fees for Mr. McGahan were accrued at $6,000 per month during 2025.</w:t>
            </w:r>
          </w:p>
        </w:tc>
      </w:tr>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Bircham was appointed to our Board on May 13, 2025. Compensation for Mr. Bircham was accrued for his service on the Board on a pro-rated basis for time in the role during 2025 at the rate of $6,000 per month. In 2025 Mr. Bircham was also eligible for the initial director fee in the amount of $85,000.</w:t>
            </w:r>
          </w:p>
        </w:tc>
      </w:tr>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Gooding was appointed to our Board on August 10, 2023 and compensation for his service was accrued at the rate of $6,000 per month on a pro-rated basis during 2023, and for each month in 2024 and 2025.</w:t>
            </w:r>
          </w:p>
        </w:tc>
      </w:tr>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Jordan was appointed to our Board on July 20, 2023 and compensation for his service was accrued at the rate of $6,000 per month on a pro-rated basis during 2023, and for each month in 2024 and 2025.</w:t>
            </w:r>
          </w:p>
        </w:tc>
      </w:tr>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Hassan was appointed to our Board on July 20, 2023 and compensation for his service was accrued at the rate of $6,000 per month on a pro-rated basis during 2023, and for each month in 2024 and 2025.</w:t>
            </w:r>
          </w:p>
        </w:tc>
      </w:tr>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Macal was appointed to our Board on April 29, 2024 and compensation for his service was accrued at the rate of $6,000 per month on a pro-rated basis during 2024, and for each month in 2024 and 2025. In 2024 Mr. Macal was also eligible for the initial director fee in the amount of $85,000.</w:t>
            </w:r>
          </w:p>
        </w:tc>
      </w:tr>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aggregate total accrued for our Board during 2025 and 2024, of the “Director’s Fee Earned”, only $42,000 of the accrual was paid in cash on June 12, 2025 and only $15,000 of the accrual was paid in cash on February 16, 2024.</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5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individuals who served as a member of the Compensation Committee during fiscal 2025 is, or has ever been, an officer or employee of the Company or any of its subsidiaries or has or had any relationship with the Company requiring disclosure under Item 404 of Regulation S-K under the Exchange Act. In addition, during the last fiscal year, no executive officer of the Company served as a member of the board of directors or the compensation committee of any other entity that has or has had one or more executive officers serving on our Board or our Compensation Committee.</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840" w:name="sk_008"/>
      <w:bookmarkEnd w:id="840"/>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information with respect to the beneficial ownership of our common stock as of December 31, 2025, for:</w:t>
      </w:r>
    </w:p>
    <w:p>
      <w:pPr>
        <w:pStyle w:val="TextBody"/>
        <w:bidi w:val="0"/>
        <w:spacing w:before="0" w:after="0"/>
        <w:jc w:val="left"/>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170"/>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own beneficially 5% or more of our outstanding common stock;</w:t>
            </w:r>
          </w:p>
        </w:tc>
      </w:tr>
    </w:tbl>
    <w:p>
      <w:pPr>
        <w:pStyle w:val="TextBody"/>
        <w:bidi w:val="0"/>
        <w:spacing w:before="0" w:after="0"/>
        <w:jc w:val="left"/>
        <w:rPr>
          <w:caps w:val="false"/>
          <w:smallCaps w:val="false"/>
        </w:rPr>
      </w:pPr>
      <w:r>
        <w:rPr>
          <w:caps w:val="false"/>
          <w:smallCaps w:val="false"/>
        </w:rPr>
        <w:t> </w:t>
      </w:r>
    </w:p>
    <w:tbl>
      <w:tblPr>
        <w:tblW w:w="3663" w:type="dxa"/>
        <w:jc w:val="left"/>
        <w:tblInd w:w="0" w:type="dxa"/>
        <w:tblLayout w:type="fixed"/>
        <w:tblCellMar>
          <w:top w:w="0" w:type="dxa"/>
          <w:left w:w="0" w:type="dxa"/>
          <w:bottom w:w="0" w:type="dxa"/>
          <w:right w:w="0" w:type="dxa"/>
        </w:tblCellMar>
      </w:tblPr>
      <w:tblGrid>
        <w:gridCol w:w="38"/>
        <w:gridCol w:w="170"/>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or director nominees;</w:t>
            </w:r>
          </w:p>
        </w:tc>
      </w:tr>
    </w:tbl>
    <w:p>
      <w:pPr>
        <w:pStyle w:val="TextBody"/>
        <w:bidi w:val="0"/>
        <w:spacing w:before="0" w:after="0"/>
        <w:jc w:val="left"/>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17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NEOs; and</w:t>
            </w:r>
          </w:p>
        </w:tc>
      </w:tr>
    </w:tbl>
    <w:p>
      <w:pPr>
        <w:pStyle w:val="TextBody"/>
        <w:bidi w:val="0"/>
        <w:spacing w:before="0" w:after="0"/>
        <w:jc w:val="left"/>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170"/>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executive officers as a group.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7,065,813 shares of our common stock outstanding. Except as indicated by footnote and subject to community property laws where applicable, to our knowledge, the persons named in the table below have sole voting and investment power with respect to all shares of common stock shown as beneficially owned by them as of December 31, 2025: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and percentages of shares beneficially owned are reported based on SEC regulations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76"/>
        <w:gridCol w:w="60"/>
        <w:gridCol w:w="99"/>
        <w:gridCol w:w="1569"/>
        <w:gridCol w:w="60"/>
        <w:gridCol w:w="60"/>
        <w:gridCol w:w="176"/>
        <w:gridCol w:w="1659"/>
        <w:gridCol w:w="246"/>
      </w:tblGrid>
      <w:tr>
        <w:trPr/>
        <w:tc>
          <w:tcPr>
            <w:tcW w:w="62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8" w:type="dxa"/>
            <w:gridSpan w:val="2"/>
            <w:tcBorders/>
            <w:vAlign w:val="center"/>
          </w:tcPr>
          <w:p>
            <w:pPr>
              <w:pStyle w:val="TableContents"/>
              <w:bidi w:val="0"/>
              <w:spacing w:before="0" w:after="283"/>
              <w:jc w:val="center"/>
              <w:rPr>
                <w:b/>
              </w:rPr>
            </w:pPr>
            <w:r>
              <w:rPr>
                <w:b/>
              </w:rPr>
              <w:t>AMOUNT AND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5" w:type="dxa"/>
            <w:gridSpan w:val="2"/>
            <w:tcBorders/>
            <w:vAlign w:val="center"/>
          </w:tcPr>
          <w:p>
            <w:pPr>
              <w:pStyle w:val="TableContents"/>
              <w:bidi w:val="0"/>
              <w:spacing w:before="0" w:after="283"/>
              <w:jc w:val="center"/>
              <w:rPr>
                <w:b/>
              </w:rPr>
            </w:pPr>
            <w:r>
              <w:rPr>
                <w:b/>
              </w:rPr>
              <w:t>PERCENT OF</w:t>
            </w:r>
          </w:p>
        </w:tc>
        <w:tc>
          <w:tcPr>
            <w:tcW w:w="246" w:type="dxa"/>
            <w:tcBorders/>
            <w:vAlign w:val="center"/>
          </w:tcPr>
          <w:p>
            <w:pPr>
              <w:pStyle w:val="TableContents"/>
              <w:bidi w:val="0"/>
              <w:spacing w:before="0" w:after="283"/>
              <w:jc w:val="left"/>
              <w:rPr/>
            </w:pPr>
            <w:r>
              <w:rPr/>
              <w:t> </w:t>
            </w:r>
          </w:p>
        </w:tc>
      </w:tr>
      <w:tr>
        <w:trPr/>
        <w:tc>
          <w:tcPr>
            <w:tcW w:w="62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8" w:type="dxa"/>
            <w:gridSpan w:val="2"/>
            <w:tcBorders/>
            <w:vAlign w:val="center"/>
          </w:tcPr>
          <w:p>
            <w:pPr>
              <w:pStyle w:val="TableContents"/>
              <w:bidi w:val="0"/>
              <w:spacing w:before="0" w:after="283"/>
              <w:jc w:val="center"/>
              <w:rPr>
                <w:b/>
              </w:rPr>
            </w:pPr>
            <w:r>
              <w:rPr>
                <w:b/>
              </w:rPr>
              <w:t>NATURE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5" w:type="dxa"/>
            <w:gridSpan w:val="2"/>
            <w:tcBorders/>
            <w:vAlign w:val="center"/>
          </w:tcPr>
          <w:p>
            <w:pPr>
              <w:pStyle w:val="TableContents"/>
              <w:bidi w:val="0"/>
              <w:spacing w:before="0" w:after="283"/>
              <w:jc w:val="center"/>
              <w:rPr>
                <w:b/>
              </w:rPr>
            </w:pPr>
            <w:r>
              <w:rPr>
                <w:b/>
              </w:rPr>
              <w:t>COMMON</w:t>
            </w:r>
          </w:p>
        </w:tc>
        <w:tc>
          <w:tcPr>
            <w:tcW w:w="246" w:type="dxa"/>
            <w:tcBorders/>
            <w:vAlign w:val="center"/>
          </w:tcPr>
          <w:p>
            <w:pPr>
              <w:pStyle w:val="TableContents"/>
              <w:bidi w:val="0"/>
              <w:spacing w:before="0" w:after="283"/>
              <w:jc w:val="left"/>
              <w:rPr/>
            </w:pPr>
            <w:r>
              <w:rPr/>
              <w:t> </w:t>
            </w:r>
          </w:p>
        </w:tc>
      </w:tr>
      <w:tr>
        <w:trPr/>
        <w:tc>
          <w:tcPr>
            <w:tcW w:w="627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DIRECTORS, NAMED EXECUTIVE OFFICERS AND STOCKHOLDERS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668" w:type="dxa"/>
            <w:gridSpan w:val="2"/>
            <w:tcBorders>
              <w:bottom w:val="single" w:sz="8" w:space="0" w:color="000000"/>
            </w:tcBorders>
            <w:tcMar>
              <w:bottom w:w="28" w:type="dxa"/>
            </w:tcMar>
            <w:vAlign w:val="center"/>
          </w:tcPr>
          <w:p>
            <w:pPr>
              <w:pStyle w:val="TableContents"/>
              <w:bidi w:val="0"/>
              <w:jc w:val="center"/>
              <w:rPr>
                <w:b/>
              </w:rPr>
            </w:pPr>
            <w:r>
              <w:rPr>
                <w:b/>
              </w:rPr>
              <w:t>BENEFICIAL</w:t>
            </w:r>
          </w:p>
          <w:p>
            <w:pPr>
              <w:pStyle w:val="TableContents"/>
              <w:bidi w:val="0"/>
              <w:spacing w:before="0" w:after="283"/>
              <w:jc w:val="center"/>
              <w:rPr>
                <w:b/>
              </w:rPr>
            </w:pPr>
            <w:r>
              <w:rPr>
                <w:b/>
              </w:rPr>
              <w:t>OWNERSHIP</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center"/>
          </w:tcPr>
          <w:p>
            <w:pPr>
              <w:pStyle w:val="TableContents"/>
              <w:bidi w:val="0"/>
              <w:jc w:val="center"/>
              <w:rPr>
                <w:b/>
              </w:rPr>
            </w:pPr>
            <w:r>
              <w:rPr>
                <w:b/>
              </w:rPr>
              <w:t>STOCK</w:t>
            </w:r>
          </w:p>
          <w:p>
            <w:pPr>
              <w:pStyle w:val="TableContents"/>
              <w:bidi w:val="0"/>
              <w:spacing w:before="0" w:after="283"/>
              <w:jc w:val="center"/>
              <w:rPr>
                <w:b/>
              </w:rPr>
            </w:pPr>
            <w:r>
              <w:rPr>
                <w:b/>
              </w:rPr>
              <w:t>OUTSTANDING</w:t>
            </w:r>
          </w:p>
        </w:tc>
        <w:tc>
          <w:tcPr>
            <w:tcW w:w="246" w:type="dxa"/>
            <w:tcBorders/>
            <w:vAlign w:val="center"/>
          </w:tcPr>
          <w:p>
            <w:pPr>
              <w:pStyle w:val="TableContents"/>
              <w:bidi w:val="0"/>
              <w:spacing w:before="0" w:after="283"/>
              <w:jc w:val="left"/>
              <w:rPr/>
            </w:pPr>
            <w:r>
              <w:rPr/>
              <w:t> </w:t>
            </w:r>
          </w:p>
        </w:tc>
      </w:tr>
      <w:tr>
        <w:trPr/>
        <w:tc>
          <w:tcPr>
            <w:tcW w:w="6276" w:type="dxa"/>
            <w:tcBorders/>
            <w:shd w:fill="CCEEFF" w:val="clear"/>
            <w:vAlign w:val="center"/>
          </w:tcPr>
          <w:p>
            <w:pPr>
              <w:pStyle w:val="TableContents"/>
              <w:bidi w:val="0"/>
              <w:spacing w:before="0" w:after="283"/>
              <w:jc w:val="left"/>
              <w:rPr>
                <w:b/>
              </w:rPr>
            </w:pPr>
            <w:r>
              <w:rPr>
                <w:b/>
              </w:rPr>
              <w:t>OFFICERS AND DIRECTORS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 </w:t>
            </w:r>
          </w:p>
        </w:tc>
        <w:tc>
          <w:tcPr>
            <w:tcW w:w="246" w:type="dxa"/>
            <w:tcBorders/>
            <w:shd w:fill="CCEEFF" w:val="clear"/>
            <w:vAlign w:val="center"/>
          </w:tcPr>
          <w:p>
            <w:pPr>
              <w:pStyle w:val="TableContents"/>
              <w:bidi w:val="0"/>
              <w:spacing w:before="0" w:after="283"/>
              <w:jc w:val="left"/>
              <w:rPr/>
            </w:pPr>
            <w:r>
              <w:rPr/>
              <w:t> </w:t>
            </w:r>
          </w:p>
        </w:tc>
      </w:tr>
      <w:tr>
        <w:trPr/>
        <w:tc>
          <w:tcPr>
            <w:tcW w:w="6276" w:type="dxa"/>
            <w:tcBorders/>
            <w:shd w:fill="FFFFFF" w:val="clear"/>
            <w:vAlign w:val="center"/>
          </w:tcPr>
          <w:p>
            <w:pPr>
              <w:pStyle w:val="TableContents"/>
              <w:bidi w:val="0"/>
              <w:spacing w:before="0" w:after="283"/>
              <w:jc w:val="left"/>
              <w:rPr/>
            </w:pPr>
            <w:r>
              <w:rPr/>
              <w:t>Matthew McGahan, CEO(former), Director(former)</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443,773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659" w:type="dxa"/>
            <w:tcBorders/>
            <w:shd w:fill="FFFFFF" w:val="clear"/>
            <w:vAlign w:val="center"/>
          </w:tcPr>
          <w:p>
            <w:pPr>
              <w:pStyle w:val="TableContents"/>
              <w:bidi w:val="0"/>
              <w:spacing w:before="0" w:after="283"/>
              <w:jc w:val="right"/>
              <w:rPr/>
            </w:pPr>
            <w:r>
              <w:rPr/>
              <w:t>6.28</w:t>
            </w:r>
          </w:p>
        </w:tc>
        <w:tc>
          <w:tcPr>
            <w:tcW w:w="246" w:type="dxa"/>
            <w:tcBorders/>
            <w:shd w:fill="FFFFFF" w:val="clear"/>
            <w:vAlign w:val="center"/>
          </w:tcPr>
          <w:p>
            <w:pPr>
              <w:pStyle w:val="TableContents"/>
              <w:bidi w:val="0"/>
              <w:spacing w:before="0" w:after="283"/>
              <w:jc w:val="left"/>
              <w:rPr/>
            </w:pPr>
            <w:r>
              <w:rPr/>
              <w:t>%</w:t>
            </w:r>
          </w:p>
        </w:tc>
      </w:tr>
      <w:tr>
        <w:trPr/>
        <w:tc>
          <w:tcPr>
            <w:tcW w:w="6276" w:type="dxa"/>
            <w:tcBorders/>
            <w:shd w:fill="CCEEFF" w:val="clear"/>
            <w:vAlign w:val="center"/>
          </w:tcPr>
          <w:p>
            <w:pPr>
              <w:pStyle w:val="TableContents"/>
              <w:bidi w:val="0"/>
              <w:spacing w:before="0" w:after="283"/>
              <w:jc w:val="left"/>
              <w:rPr/>
            </w:pPr>
            <w:r>
              <w:rPr/>
              <w:t>Robert Stubblefield, CFO and Interim CEO</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213,318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3.02</w:t>
            </w:r>
          </w:p>
        </w:tc>
        <w:tc>
          <w:tcPr>
            <w:tcW w:w="246" w:type="dxa"/>
            <w:tcBorders/>
            <w:shd w:fill="CCEEFF" w:val="clear"/>
            <w:vAlign w:val="center"/>
          </w:tcPr>
          <w:p>
            <w:pPr>
              <w:pStyle w:val="TableContents"/>
              <w:bidi w:val="0"/>
              <w:spacing w:before="0" w:after="283"/>
              <w:jc w:val="left"/>
              <w:rPr/>
            </w:pPr>
            <w:r>
              <w:rPr/>
              <w:t>%</w:t>
            </w:r>
          </w:p>
        </w:tc>
      </w:tr>
      <w:tr>
        <w:trPr/>
        <w:tc>
          <w:tcPr>
            <w:tcW w:w="6276" w:type="dxa"/>
            <w:tcBorders/>
            <w:shd w:fill="FFFFFF" w:val="clear"/>
            <w:vAlign w:val="center"/>
          </w:tcPr>
          <w:p>
            <w:pPr>
              <w:pStyle w:val="TableContents"/>
              <w:bidi w:val="0"/>
              <w:spacing w:before="0" w:after="283"/>
              <w:jc w:val="left"/>
              <w:rPr/>
            </w:pPr>
            <w:r>
              <w:rPr/>
              <w:t>Greg Potts, COO</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174,099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659" w:type="dxa"/>
            <w:tcBorders/>
            <w:shd w:fill="FFFFFF" w:val="clear"/>
            <w:vAlign w:val="center"/>
          </w:tcPr>
          <w:p>
            <w:pPr>
              <w:pStyle w:val="TableContents"/>
              <w:bidi w:val="0"/>
              <w:spacing w:before="0" w:after="283"/>
              <w:jc w:val="right"/>
              <w:rPr/>
            </w:pPr>
            <w:r>
              <w:rPr/>
              <w:t>2.46</w:t>
            </w:r>
          </w:p>
        </w:tc>
        <w:tc>
          <w:tcPr>
            <w:tcW w:w="246" w:type="dxa"/>
            <w:tcBorders/>
            <w:shd w:fill="FFFFFF" w:val="clear"/>
            <w:vAlign w:val="center"/>
          </w:tcPr>
          <w:p>
            <w:pPr>
              <w:pStyle w:val="TableContents"/>
              <w:bidi w:val="0"/>
              <w:spacing w:before="0" w:after="283"/>
              <w:jc w:val="left"/>
              <w:rPr/>
            </w:pPr>
            <w:r>
              <w:rPr/>
              <w:t>%</w:t>
            </w:r>
          </w:p>
        </w:tc>
      </w:tr>
      <w:tr>
        <w:trPr/>
        <w:tc>
          <w:tcPr>
            <w:tcW w:w="6276" w:type="dxa"/>
            <w:tcBorders/>
            <w:shd w:fill="CCEEFF" w:val="clear"/>
            <w:vAlign w:val="center"/>
          </w:tcPr>
          <w:p>
            <w:pPr>
              <w:pStyle w:val="TableContents"/>
              <w:bidi w:val="0"/>
              <w:spacing w:before="0" w:after="283"/>
              <w:jc w:val="left"/>
              <w:rPr/>
            </w:pPr>
            <w:r>
              <w:rPr/>
              <w:t>Marc Bircham, Chairman</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235,952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3.34</w:t>
            </w:r>
          </w:p>
        </w:tc>
        <w:tc>
          <w:tcPr>
            <w:tcW w:w="246" w:type="dxa"/>
            <w:tcBorders/>
            <w:shd w:fill="CCEEFF" w:val="clear"/>
            <w:vAlign w:val="center"/>
          </w:tcPr>
          <w:p>
            <w:pPr>
              <w:pStyle w:val="TableContents"/>
              <w:bidi w:val="0"/>
              <w:spacing w:before="0" w:after="283"/>
              <w:jc w:val="left"/>
              <w:rPr/>
            </w:pPr>
            <w:r>
              <w:rPr/>
              <w:t>%</w:t>
            </w:r>
          </w:p>
        </w:tc>
      </w:tr>
      <w:tr>
        <w:trPr/>
        <w:tc>
          <w:tcPr>
            <w:tcW w:w="6276" w:type="dxa"/>
            <w:tcBorders/>
            <w:shd w:fill="FFFFFF" w:val="clear"/>
            <w:vAlign w:val="center"/>
          </w:tcPr>
          <w:p>
            <w:pPr>
              <w:pStyle w:val="TableContents"/>
              <w:bidi w:val="0"/>
              <w:spacing w:before="0" w:after="283"/>
              <w:jc w:val="left"/>
              <w:rPr/>
            </w:pPr>
            <w:r>
              <w:rPr/>
              <w:t>Christopher Gooding, Director</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191,834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659" w:type="dxa"/>
            <w:tcBorders/>
            <w:shd w:fill="FFFFFF" w:val="clear"/>
            <w:vAlign w:val="center"/>
          </w:tcPr>
          <w:p>
            <w:pPr>
              <w:pStyle w:val="TableContents"/>
              <w:bidi w:val="0"/>
              <w:spacing w:before="0" w:after="283"/>
              <w:jc w:val="right"/>
              <w:rPr/>
            </w:pPr>
            <w:r>
              <w:rPr/>
              <w:t>2.71</w:t>
            </w:r>
          </w:p>
        </w:tc>
        <w:tc>
          <w:tcPr>
            <w:tcW w:w="246" w:type="dxa"/>
            <w:tcBorders/>
            <w:shd w:fill="FFFFFF" w:val="clear"/>
            <w:vAlign w:val="center"/>
          </w:tcPr>
          <w:p>
            <w:pPr>
              <w:pStyle w:val="TableContents"/>
              <w:bidi w:val="0"/>
              <w:spacing w:before="0" w:after="283"/>
              <w:jc w:val="left"/>
              <w:rPr/>
            </w:pPr>
            <w:r>
              <w:rPr/>
              <w:t>%</w:t>
            </w:r>
          </w:p>
        </w:tc>
      </w:tr>
      <w:tr>
        <w:trPr/>
        <w:tc>
          <w:tcPr>
            <w:tcW w:w="6276" w:type="dxa"/>
            <w:tcBorders/>
            <w:shd w:fill="CCEEFF" w:val="clear"/>
            <w:vAlign w:val="center"/>
          </w:tcPr>
          <w:p>
            <w:pPr>
              <w:pStyle w:val="TableContents"/>
              <w:bidi w:val="0"/>
              <w:spacing w:before="0" w:after="283"/>
              <w:jc w:val="left"/>
              <w:rPr/>
            </w:pPr>
            <w:r>
              <w:rPr/>
              <w:t>Tamer T. Hassan, Director</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94,286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1.33</w:t>
            </w:r>
          </w:p>
        </w:tc>
        <w:tc>
          <w:tcPr>
            <w:tcW w:w="246" w:type="dxa"/>
            <w:tcBorders/>
            <w:shd w:fill="CCEEFF" w:val="clear"/>
            <w:vAlign w:val="center"/>
          </w:tcPr>
          <w:p>
            <w:pPr>
              <w:pStyle w:val="TableContents"/>
              <w:bidi w:val="0"/>
              <w:spacing w:before="0" w:after="283"/>
              <w:jc w:val="left"/>
              <w:rPr/>
            </w:pPr>
            <w:r>
              <w:rPr/>
              <w:t>%</w:t>
            </w:r>
          </w:p>
        </w:tc>
      </w:tr>
      <w:tr>
        <w:trPr/>
        <w:tc>
          <w:tcPr>
            <w:tcW w:w="6276" w:type="dxa"/>
            <w:tcBorders/>
            <w:shd w:fill="FFFFFF" w:val="clear"/>
            <w:vAlign w:val="center"/>
          </w:tcPr>
          <w:p>
            <w:pPr>
              <w:pStyle w:val="TableContents"/>
              <w:bidi w:val="0"/>
              <w:spacing w:before="0" w:after="283"/>
              <w:jc w:val="left"/>
              <w:rPr/>
            </w:pPr>
            <w:r>
              <w:rPr/>
              <w:t>Paul S. Jordan, Director</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109,095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659" w:type="dxa"/>
            <w:tcBorders/>
            <w:shd w:fill="FFFFFF" w:val="clear"/>
            <w:vAlign w:val="center"/>
          </w:tcPr>
          <w:p>
            <w:pPr>
              <w:pStyle w:val="TableContents"/>
              <w:bidi w:val="0"/>
              <w:spacing w:before="0" w:after="283"/>
              <w:jc w:val="right"/>
              <w:rPr/>
            </w:pPr>
            <w:r>
              <w:rPr/>
              <w:t>1.54</w:t>
            </w:r>
          </w:p>
        </w:tc>
        <w:tc>
          <w:tcPr>
            <w:tcW w:w="246" w:type="dxa"/>
            <w:tcBorders/>
            <w:shd w:fill="FFFFFF" w:val="clear"/>
            <w:vAlign w:val="center"/>
          </w:tcPr>
          <w:p>
            <w:pPr>
              <w:pStyle w:val="TableContents"/>
              <w:bidi w:val="0"/>
              <w:spacing w:before="0" w:after="283"/>
              <w:jc w:val="left"/>
              <w:rPr/>
            </w:pPr>
            <w:r>
              <w:rPr/>
              <w:t>%</w:t>
            </w:r>
          </w:p>
        </w:tc>
      </w:tr>
      <w:tr>
        <w:trPr/>
        <w:tc>
          <w:tcPr>
            <w:tcW w:w="62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Warren Macal, Director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89,255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2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62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659"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r>
      <w:tr>
        <w:trPr/>
        <w:tc>
          <w:tcPr>
            <w:tcW w:w="6276" w:type="dxa"/>
            <w:tcBorders/>
            <w:shd w:fill="CCEEFF" w:val="clear"/>
            <w:vAlign w:val="center"/>
          </w:tcPr>
          <w:p>
            <w:pPr>
              <w:pStyle w:val="TableContents"/>
              <w:bidi w:val="0"/>
              <w:spacing w:before="0" w:after="283"/>
              <w:jc w:val="left"/>
              <w:rPr>
                <w:b/>
              </w:rPr>
            </w:pPr>
            <w:r>
              <w:rPr>
                <w:b/>
              </w:rPr>
              <w:t>DIRECTORS AND EXECUTIVE OFFICERS AS A GROUP (EIGHT PERSONS)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1,491,612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21.11</w:t>
            </w:r>
          </w:p>
        </w:tc>
        <w:tc>
          <w:tcPr>
            <w:tcW w:w="246" w:type="dxa"/>
            <w:tcBorders/>
            <w:shd w:fill="CCEEFF" w:val="cle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business address of each of these stockholders is c/o SEGG Media, 5049 Edwards Ranch Road,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Fort Worth, TX 76109.</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Compensation Plan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share and exercise price information about the Company’s equity compensation plans as of December 31, 2025.</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00"/>
        <w:gridCol w:w="60"/>
        <w:gridCol w:w="289"/>
        <w:gridCol w:w="1255"/>
        <w:gridCol w:w="60"/>
        <w:gridCol w:w="60"/>
        <w:gridCol w:w="285"/>
        <w:gridCol w:w="1244"/>
        <w:gridCol w:w="60"/>
        <w:gridCol w:w="60"/>
        <w:gridCol w:w="149"/>
        <w:gridCol w:w="1506"/>
        <w:gridCol w:w="77"/>
      </w:tblGrid>
      <w:tr>
        <w:trPr/>
        <w:tc>
          <w:tcPr>
            <w:tcW w:w="5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4" w:type="dxa"/>
            <w:gridSpan w:val="2"/>
            <w:tcBorders/>
            <w:vAlign w:val="center"/>
          </w:tcPr>
          <w:p>
            <w:pPr>
              <w:pStyle w:val="TableContents"/>
              <w:bidi w:val="0"/>
              <w:spacing w:before="0" w:after="283"/>
              <w:jc w:val="center"/>
              <w:rPr>
                <w:b/>
              </w:rPr>
            </w:pPr>
            <w:r>
              <w:rPr>
                <w:b/>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Number of</w:t>
            </w:r>
          </w:p>
        </w:tc>
        <w:tc>
          <w:tcPr>
            <w:tcW w:w="77" w:type="dxa"/>
            <w:tcBorders/>
            <w:vAlign w:val="center"/>
          </w:tcPr>
          <w:p>
            <w:pPr>
              <w:pStyle w:val="TableContents"/>
              <w:bidi w:val="0"/>
              <w:spacing w:before="0" w:after="283"/>
              <w:jc w:val="left"/>
              <w:rPr/>
            </w:pPr>
            <w:r>
              <w:rPr/>
              <w:t> </w:t>
            </w:r>
          </w:p>
        </w:tc>
      </w:tr>
      <w:tr>
        <w:trPr/>
        <w:tc>
          <w:tcPr>
            <w:tcW w:w="5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4" w:type="dxa"/>
            <w:gridSpan w:val="2"/>
            <w:tcBorders/>
            <w:vAlign w:val="center"/>
          </w:tcPr>
          <w:p>
            <w:pPr>
              <w:pStyle w:val="TableContents"/>
              <w:bidi w:val="0"/>
              <w:spacing w:before="0" w:after="283"/>
              <w:jc w:val="center"/>
              <w:rPr>
                <w:b/>
              </w:rPr>
            </w:pPr>
            <w:r>
              <w:rPr>
                <w:b/>
              </w:rPr>
              <w:t>Securities to be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9"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Securities</w:t>
            </w:r>
          </w:p>
        </w:tc>
        <w:tc>
          <w:tcPr>
            <w:tcW w:w="77" w:type="dxa"/>
            <w:tcBorders/>
            <w:vAlign w:val="center"/>
          </w:tcPr>
          <w:p>
            <w:pPr>
              <w:pStyle w:val="TableContents"/>
              <w:bidi w:val="0"/>
              <w:spacing w:before="0" w:after="283"/>
              <w:jc w:val="left"/>
              <w:rPr/>
            </w:pPr>
            <w:r>
              <w:rPr/>
              <w:t> </w:t>
            </w:r>
          </w:p>
        </w:tc>
      </w:tr>
      <w:tr>
        <w:trPr/>
        <w:tc>
          <w:tcPr>
            <w:tcW w:w="5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4" w:type="dxa"/>
            <w:gridSpan w:val="2"/>
            <w:tcBorders/>
            <w:vAlign w:val="center"/>
          </w:tcPr>
          <w:p>
            <w:pPr>
              <w:pStyle w:val="TableContents"/>
              <w:bidi w:val="0"/>
              <w:spacing w:before="0" w:after="283"/>
              <w:jc w:val="center"/>
              <w:rPr>
                <w:b/>
              </w:rPr>
            </w:pPr>
            <w:r>
              <w:rPr>
                <w:b/>
              </w:rPr>
              <w:t>Issued Upon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9"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Remaining</w:t>
            </w:r>
          </w:p>
        </w:tc>
        <w:tc>
          <w:tcPr>
            <w:tcW w:w="77" w:type="dxa"/>
            <w:tcBorders/>
            <w:vAlign w:val="center"/>
          </w:tcPr>
          <w:p>
            <w:pPr>
              <w:pStyle w:val="TableContents"/>
              <w:bidi w:val="0"/>
              <w:spacing w:before="0" w:after="283"/>
              <w:jc w:val="left"/>
              <w:rPr/>
            </w:pPr>
            <w:r>
              <w:rPr/>
              <w:t> </w:t>
            </w:r>
          </w:p>
        </w:tc>
      </w:tr>
      <w:tr>
        <w:trPr/>
        <w:tc>
          <w:tcPr>
            <w:tcW w:w="5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4" w:type="dxa"/>
            <w:gridSpan w:val="2"/>
            <w:tcBorders/>
            <w:vAlign w:val="center"/>
          </w:tcPr>
          <w:p>
            <w:pPr>
              <w:pStyle w:val="TableContents"/>
              <w:bidi w:val="0"/>
              <w:spacing w:before="0" w:after="283"/>
              <w:jc w:val="center"/>
              <w:rPr>
                <w:b/>
              </w:rPr>
            </w:pPr>
            <w:r>
              <w:rPr>
                <w:b/>
              </w:rPr>
              <w:t>Exercise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9" w:type="dxa"/>
            <w:gridSpan w:val="2"/>
            <w:tcBorders/>
            <w:vAlign w:val="center"/>
          </w:tcPr>
          <w:p>
            <w:pPr>
              <w:pStyle w:val="TableContents"/>
              <w:bidi w:val="0"/>
              <w:spacing w:before="0" w:after="283"/>
              <w:jc w:val="center"/>
              <w:rPr>
                <w:b/>
              </w:rPr>
            </w:pPr>
            <w:r>
              <w:rPr>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Available for</w:t>
            </w:r>
          </w:p>
        </w:tc>
        <w:tc>
          <w:tcPr>
            <w:tcW w:w="77" w:type="dxa"/>
            <w:tcBorders/>
            <w:vAlign w:val="center"/>
          </w:tcPr>
          <w:p>
            <w:pPr>
              <w:pStyle w:val="TableContents"/>
              <w:bidi w:val="0"/>
              <w:spacing w:before="0" w:after="283"/>
              <w:jc w:val="left"/>
              <w:rPr/>
            </w:pPr>
            <w:r>
              <w:rPr/>
              <w:t> </w:t>
            </w:r>
          </w:p>
        </w:tc>
      </w:tr>
      <w:tr>
        <w:trPr/>
        <w:tc>
          <w:tcPr>
            <w:tcW w:w="5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4" w:type="dxa"/>
            <w:gridSpan w:val="2"/>
            <w:tcBorders/>
            <w:vAlign w:val="center"/>
          </w:tcPr>
          <w:p>
            <w:pPr>
              <w:pStyle w:val="TableContents"/>
              <w:bidi w:val="0"/>
              <w:spacing w:before="0" w:after="283"/>
              <w:jc w:val="center"/>
              <w:rPr>
                <w:b/>
              </w:rPr>
            </w:pPr>
            <w:r>
              <w:rPr>
                <w:b/>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9" w:type="dxa"/>
            <w:gridSpan w:val="2"/>
            <w:tcBorders/>
            <w:vAlign w:val="center"/>
          </w:tcPr>
          <w:p>
            <w:pPr>
              <w:pStyle w:val="TableContents"/>
              <w:bidi w:val="0"/>
              <w:spacing w:before="0" w:after="283"/>
              <w:jc w:val="center"/>
              <w:rPr>
                <w:b/>
              </w:rPr>
            </w:pPr>
            <w:r>
              <w:rPr>
                <w:b/>
              </w:rPr>
              <w:t>of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Future Issuance</w:t>
            </w:r>
          </w:p>
        </w:tc>
        <w:tc>
          <w:tcPr>
            <w:tcW w:w="77" w:type="dxa"/>
            <w:tcBorders/>
            <w:vAlign w:val="center"/>
          </w:tcPr>
          <w:p>
            <w:pPr>
              <w:pStyle w:val="TableContents"/>
              <w:bidi w:val="0"/>
              <w:spacing w:before="0" w:after="283"/>
              <w:jc w:val="left"/>
              <w:rPr/>
            </w:pPr>
            <w:r>
              <w:rPr/>
              <w:t> </w:t>
            </w:r>
          </w:p>
        </w:tc>
      </w:tr>
      <w:tr>
        <w:trPr/>
        <w:tc>
          <w:tcPr>
            <w:tcW w:w="5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4" w:type="dxa"/>
            <w:gridSpan w:val="2"/>
            <w:tcBorders/>
            <w:vAlign w:val="center"/>
          </w:tcPr>
          <w:p>
            <w:pPr>
              <w:pStyle w:val="TableContents"/>
              <w:bidi w:val="0"/>
              <w:spacing w:before="0" w:after="283"/>
              <w:jc w:val="center"/>
              <w:rPr>
                <w:b/>
              </w:rPr>
            </w:pPr>
            <w:r>
              <w:rPr>
                <w:b/>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9" w:type="dxa"/>
            <w:gridSpan w:val="2"/>
            <w:tcBorders/>
            <w:vAlign w:val="center"/>
          </w:tcPr>
          <w:p>
            <w:pPr>
              <w:pStyle w:val="TableContents"/>
              <w:bidi w:val="0"/>
              <w:spacing w:before="0" w:after="283"/>
              <w:jc w:val="center"/>
              <w:rPr>
                <w:b/>
              </w:rPr>
            </w:pPr>
            <w:r>
              <w:rPr>
                <w:b/>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Under Equity</w:t>
            </w:r>
          </w:p>
        </w:tc>
        <w:tc>
          <w:tcPr>
            <w:tcW w:w="77" w:type="dxa"/>
            <w:tcBorders/>
            <w:vAlign w:val="center"/>
          </w:tcPr>
          <w:p>
            <w:pPr>
              <w:pStyle w:val="TableContents"/>
              <w:bidi w:val="0"/>
              <w:spacing w:before="0" w:after="283"/>
              <w:jc w:val="left"/>
              <w:rPr/>
            </w:pPr>
            <w:r>
              <w:rPr/>
              <w:t> </w:t>
            </w:r>
          </w:p>
        </w:tc>
      </w:tr>
      <w:tr>
        <w:trPr/>
        <w:tc>
          <w:tcPr>
            <w:tcW w:w="5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4" w:type="dxa"/>
            <w:gridSpan w:val="2"/>
            <w:tcBorders/>
            <w:vAlign w:val="center"/>
          </w:tcPr>
          <w:p>
            <w:pPr>
              <w:pStyle w:val="TableContents"/>
              <w:bidi w:val="0"/>
              <w:spacing w:before="0" w:after="283"/>
              <w:jc w:val="center"/>
              <w:rPr>
                <w:b/>
              </w:rPr>
            </w:pPr>
            <w:r>
              <w:rPr>
                <w:b/>
              </w:rPr>
              <w:t>Warrants and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9" w:type="dxa"/>
            <w:gridSpan w:val="2"/>
            <w:tcBorders/>
            <w:vAlign w:val="center"/>
          </w:tcPr>
          <w:p>
            <w:pPr>
              <w:pStyle w:val="TableContents"/>
              <w:bidi w:val="0"/>
              <w:spacing w:before="0" w:after="283"/>
              <w:jc w:val="center"/>
              <w:rPr>
                <w:b/>
              </w:rPr>
            </w:pPr>
            <w:r>
              <w:rPr>
                <w:b/>
              </w:rPr>
              <w:t>Warrants and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Compensation</w:t>
            </w:r>
          </w:p>
        </w:tc>
        <w:tc>
          <w:tcPr>
            <w:tcW w:w="77" w:type="dxa"/>
            <w:tcBorders/>
            <w:vAlign w:val="center"/>
          </w:tcPr>
          <w:p>
            <w:pPr>
              <w:pStyle w:val="TableContents"/>
              <w:bidi w:val="0"/>
              <w:spacing w:before="0" w:after="283"/>
              <w:jc w:val="left"/>
              <w:rPr/>
            </w:pPr>
            <w:r>
              <w:rPr/>
              <w:t> </w:t>
            </w:r>
          </w:p>
        </w:tc>
      </w:tr>
      <w:tr>
        <w:trPr/>
        <w:tc>
          <w:tcPr>
            <w:tcW w:w="5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Plans</w:t>
            </w:r>
          </w:p>
        </w:tc>
        <w:tc>
          <w:tcPr>
            <w:tcW w:w="77" w:type="dxa"/>
            <w:tcBorders/>
            <w:vAlign w:val="center"/>
          </w:tcPr>
          <w:p>
            <w:pPr>
              <w:pStyle w:val="TableContents"/>
              <w:bidi w:val="0"/>
              <w:spacing w:before="0" w:after="283"/>
              <w:jc w:val="left"/>
              <w:rPr/>
            </w:pPr>
            <w:r>
              <w:rPr/>
              <w:t> </w:t>
            </w:r>
          </w:p>
        </w:tc>
      </w:tr>
      <w:tr>
        <w:trPr/>
        <w:tc>
          <w:tcPr>
            <w:tcW w:w="51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Equity Compensation plans approved by security holders</w:t>
            </w:r>
            <w:r>
              <w:rPr>
                <w:rFonts w:ascii="Times New Roman;Times;Serif" w:hAnsi="Times New Roman;Times;Serif"/>
                <w:b/>
                <w:position w:val="7"/>
                <w:sz w:val="16"/>
                <w:sz w:val="20"/>
              </w:rPr>
              <w:t>(1)a</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86,483</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Relates only to the Lottery.com 2021 Incentive Plan.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Board and stockholders approved the Lottery.com 2021 Incentive Plan, which enables the Company to grant non-qualified stock options, incentive stock options, stock appreciation rights, restricted stock, restricted stock units, unrestricted stock, other share based awards and cash awards to directors, employees, consultants and advisors to improve the ability of the Company to attract and retain key personnel upon whom the Company’s sustained growth and financial success depend, by providing such persons with an opportunity to acquire or increase their proprietary interest in the Company.</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841" w:name="sk_009"/>
      <w:bookmarkEnd w:id="841"/>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 Rights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Business Combination on October 29, 2021 (the “Business Combination Closing”), the Company entered into an investor rights agreement (the “Investor Rights Agreement”) with the initial stockholders of Trident Acquisition Corp. and certain stockholders of AutoLotto, including Lawrence Anthony DiMatteo III, our former chief executive officer, and Matthew Clemenson, our former chief revenue officer (collectively, the “Stockholder Parties”). Pursuant to the Investor Rights Agreement, such parties agreed to vote or cause to be voted all shares owned by them or take such other necessary action to ensure that (i) our Board was made up of at least five directors at Closing, (ii) one director nominated by the Initial Stockholders (the “Initial Stockholders Director”) and the remaining directors nominated by the AutoLotto stockholders (the “AutoLotto Directors”) would be elected to our initial Board, with the Initial Stockholders Director designated as a Class II director, and (iii) following the nomination of our initial Board, neither the Initial Stockholders nor the AutoLotto Stockholders shall have ongoing nomination rights, except that in the event that a vacancy is created on our Board at any time by the death, disability, resignation or removal of the Initial Stockholders Director or any AutoLotto Director during their initial term, then (x) the AutoLotto Stockholders, with respect to a vacancy created by the death, disability, resignation or removal of an AutoLotto Director, or (y) the Initial Stockholders, with respect to a vacancy created by the death, disability, resignation or removal of an Initial Stockholders Director, will be entitled to designate an individual to fill the vacancy. In addition, the Investor Rights Agreement provides that we will register for resale under the Securities Act, certain shares of Common Stock and other equity securities that are held by the parties thereto from time to time as well as other customary registration rights for the parties thereto. The Investor Rights Agreement was terminated in connection with the Woodford Loan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 and Independence Determinations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established the Corporate Governance Guidelines to assist it in making independence determinations for each director of our Board. The Corporate Governance Guidelines define an “independent director” to align with the definition provided under the corporate governance requirements of the Nasdaq Stock Market LLC (collectively, the “Nasdaq Rules”). Under Nasdaq Rule 5605(a)(2), a director is not independent unless the Board affirmatively determines that they do not have a direct or indirect relationship which, in the opinion of the Board, would interfere with the exercise of independent judgment in carrying out the responsibilities of a director of the Company. Directors who serve on the Audit Committee and Compensation Committee are subject to the additional independence requirements under applicable SEC rules and Nasdaq Rules.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policy of the Board to make affirmative independence determinations for all directors at least annually in connection with the preparation of the Company’s proxy statement. In making independence determinations, the Board will broadly consider all relevant facts and circumstances in addition to the requirements of Nasdaq Rule 5605(a)(2).</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undertook its annual review of director independence. As a result of this review, the Board affirmatively determined that Messrs. Gooding, Jordan, Hassan and Macal are independent within the meaning of the Nasdaq Rules, including with respect to their respective committee service. The Board has determined that each member of the Audit Committee is “independent” for purposes of service on the Audit Committee in accordance with Section 10A(m)(3) of the Securities Exchange Act of 1934, as amended (the “Exchange Act”), and that each member of the Compensation Committee is “independent” for purposes of service on the Compensation Committee in accordance with Section 10C(a)(3) of the Exchange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842" w:name="sk_010"/>
      <w:bookmarkEnd w:id="842"/>
      <w:r>
        <w:rPr>
          <w:rFonts w:ascii="Times New Roman;Times;Serif" w:hAnsi="Times New Roman;Times;Serif"/>
          <w:b/>
          <w:i w:val="false"/>
          <w:caps w:val="false"/>
          <w:smallCaps w:val="false"/>
          <w:sz w:val="20"/>
        </w:rPr>
        <w:t>Item 14. Principal Accounting Fees and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Fees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Audit Committee approved the engagement of Yusufali &amp; Associates, LLC (“Yusufali”) as the Company’s independent registered public accounting firm, effective immediately, for the fiscal year ended December 31, 2022. Yusufali continued its engagement for the Company as its independent registered public accounting firm for 2023 and for the quarters ended March 31 and June 30 2024. Yusufali resigned as independent accountants on November 15, 2024 and Boladale Lawal &amp; Co (“Boladale”) was appointed effective for the reporting period ended September 30, 2024 and remains the Company’s independent registered public accounting firm. The following table sets forth the aggregate fees billed to us for the fiscal year ended December 31, 2025 and December 31, 2024 by the independent accounting firms:</w:t>
      </w:r>
    </w:p>
    <w:p>
      <w:pPr>
        <w:pStyle w:val="TextBody"/>
        <w:bidi w:val="0"/>
        <w:spacing w:before="0" w:after="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805"/>
        <w:gridCol w:w="60"/>
        <w:gridCol w:w="140"/>
        <w:gridCol w:w="800"/>
        <w:gridCol w:w="60"/>
        <w:gridCol w:w="60"/>
        <w:gridCol w:w="140"/>
        <w:gridCol w:w="800"/>
        <w:gridCol w:w="75"/>
      </w:tblGrid>
      <w:tr>
        <w:trPr/>
        <w:tc>
          <w:tcPr>
            <w:tcW w:w="1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center"/>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170,000</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Audit-Related Fees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65,000</w:t>
            </w:r>
          </w:p>
        </w:tc>
        <w:tc>
          <w:tcPr>
            <w:tcW w:w="7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Tax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Other Fees</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145,000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235,000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represent the aggregate fees billed for professional services rendered for the audits of the annual financial statements, for the audits of certain of our subsidiaries and for services that are normally provided by the independent registered public accounting firm in connection with statutory and regulatory filings. In 2024, Boladale performed a reaudit of the financial statements for the year ended December 31, 2023 as a result of the resignation of Yusufali for $80,000, as well as an audit of the financial statements for the year ended December 31, 2024 for $90,000. Boladale has also audited the financial statements for the year ended December 31, 2025 for $100,000.</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 represent the aggregate fees billed for assurance and other services related to the performance of review of our consolidated quarterly financial statements that are not reported under heading (1) above. These services may include due diligence related to mergers and acquisitions and consultation concerning financial accounting and reporting standards. In particular, Yusufali reviewed financial statements for March 31 and June 30, 2024. Boladale reviewed financial statements for September 30, 2024 and for March 31, June 30, and September 30, 2025</w:t>
            </w:r>
          </w:p>
        </w:tc>
      </w:tr>
    </w:tbl>
    <w:p>
      <w:pPr>
        <w:pStyle w:val="TextBody"/>
        <w:bidi w:val="0"/>
        <w:spacing w:before="0" w:after="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260"/>
        <w:gridCol w:w="458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Fees represent fees billed for all other services.</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Pre-Approval Procedures for Independent Registered Public Accounting Firm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sole authority to engage and determine the compensation of our independent registered public accounting firm. The Audit Committee also is directly responsible for evaluating the independent registered public accounting firm, reviewing and evaluating the lead partner of the independent registered public accounting firm and overseeing the work of the independent registered public accounting firm. In addition, and pursuant to its charter and the Company’s Audit and Non-Audit Services Pre-Approval Policy, the Audit Committee annually reviews and pre-approves the audit services to be provided by Boladale Lawal &amp; Co, and also reviews and pre-approves the engagement of Boladale for the provision of other services during the year, including audit-related, tax and other permissible non-audit. For each proposed service, the Company’s management and the independent registered public accounting firm are required to jointly submit to the Audit Committee detailed supporting documentation at the time of approval to permit the Audit Committee to make a determination as to whether the provision of such services would impair the independent registered public accounting firm’s independence, and whether the fees for the services are appropriate.</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43" w:name="sk_011"/>
      <w:bookmarkEnd w:id="843"/>
      <w:r>
        <w:rPr>
          <w:rFonts w:ascii="Times New Roman;Times;Serif" w:hAnsi="Times New Roman;Times;Serif"/>
          <w:b/>
          <w:i w:val="false"/>
          <w:caps w:val="false"/>
          <w:smallCaps w:val="false"/>
          <w:sz w:val="20"/>
        </w:rPr>
        <w:t>PART IV</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844" w:name="sk_012"/>
      <w:bookmarkEnd w:id="844"/>
      <w:r>
        <w:rPr>
          <w:rFonts w:ascii="Times New Roman;Times;Serif" w:hAnsi="Times New Roman;Times;Serif"/>
          <w:b/>
          <w:i w:val="false"/>
          <w:caps w:val="false"/>
          <w:smallCaps w:val="false"/>
          <w:sz w:val="20"/>
        </w:rPr>
        <w:t>Item 15. Exhibits, Financial Statement Schedules.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listed in the accompanying Index to Consolidated Financial Statements are filed as part of this Report.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below are filed as part of this Report or incorporated herein by reference to the location indicated.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4"/>
        <w:gridCol w:w="60"/>
        <w:gridCol w:w="9351"/>
      </w:tblGrid>
      <w:tr>
        <w:trPr/>
        <w:tc>
          <w:tcPr>
            <w:tcW w:w="794"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94"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Business Combination Agreement, dated as of February 21, 2021, by and among Trident Acquisitions Corp., Trident Merger Sub II Corp., and AutoLotto, Inc. (incorporated by reference to Exhibit 2.1 of Form 8-K, on February 23, 2021).</w:t>
              </w:r>
            </w:hyperlink>
          </w:p>
        </w:tc>
      </w:tr>
      <w:tr>
        <w:trPr/>
        <w:tc>
          <w:tcPr>
            <w:tcW w:w="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Certificate of Incorporation of Lottery.com Inc. (incorporated by reference to Exhibit 3.1 of Form 8-K filed on January 30, 2026).</w:t>
              </w:r>
            </w:hyperlink>
          </w:p>
        </w:tc>
      </w:tr>
      <w:tr>
        <w:trPr/>
        <w:tc>
          <w:tcPr>
            <w:tcW w:w="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Amended and Restated Bylaws of Lottery.com Inc. (incorporated by reference to Exhibit 3.2 of Form 8-K filed on November 4, 2021).</w:t>
              </w:r>
            </w:hyperlink>
          </w:p>
        </w:tc>
      </w:tr>
      <w:tr>
        <w:trPr/>
        <w:tc>
          <w:tcPr>
            <w:tcW w:w="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Warrant Agreement, dated as of May 29, 2018, between TDAC and Continental Stock Transfer &amp; Trust Company, as warrant agent (incorporated by reference to Exhibit 4.1 of Form 8-K filed on June 4, 2018).</w:t>
              </w:r>
            </w:hyperlink>
          </w:p>
        </w:tc>
      </w:tr>
      <w:tr>
        <w:trPr/>
        <w:tc>
          <w:tcPr>
            <w:tcW w:w="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Description of Capital Stock (incorporated by reference to Exhibit 4.2 of Form 10-K filed on April 1, 2022).</w:t>
              </w:r>
            </w:hyperlink>
          </w:p>
        </w:tc>
      </w:tr>
      <w:tr>
        <w:trPr/>
        <w:tc>
          <w:tcPr>
            <w:tcW w:w="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Letter Agreement among Trident Acquisitions Corp., Trident Acquisitions Corp.’s officers, directors and stockholders (incorporated by reference to Exhibit 10.2 to Amendment No. 2 to the Registration Statement on Form S-1/A (File No. 333-223655) filed on May 21, 2018).</w:t>
              </w:r>
            </w:hyperlink>
          </w:p>
        </w:tc>
      </w:tr>
      <w:tr>
        <w:trPr/>
        <w:tc>
          <w:tcPr>
            <w:tcW w:w="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Stock Escrow Agreement between Trident Acquisitions Corp., Continental Stock Transfer &amp; Trust Company and the initial stockholders of Trident Acquisitions Corp (incorporated by reference to Exhibit 10.3 on Form 8-K, filed on June 4, 2018).</w:t>
              </w:r>
            </w:hyperlink>
          </w:p>
        </w:tc>
      </w:tr>
      <w:tr>
        <w:trPr/>
        <w:tc>
          <w:tcPr>
            <w:tcW w:w="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Investor Rights Agreement, dated as of October 29, 2021, by and among Lottery.com Inc., AutoLotto, Inc. and the security holders party thereto (incorporated by reference to Exhibit 10.12 on Form 8-K filed on November 4, 2021).</w:t>
              </w:r>
            </w:hyperlink>
          </w:p>
        </w:tc>
      </w:tr>
      <w:tr>
        <w:trPr/>
        <w:tc>
          <w:tcPr>
            <w:tcW w:w="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Initial Stockholder Forfeiture Agreement, dated as of October 29, 2021, by and among Lottery.com Inc., AutoLotto, Inc. and the security holders party thereto (incorporated by reference to Exhibit 10.13 on Form 8-K filed on November 4, 2021).</w:t>
              </w:r>
            </w:hyperlink>
          </w:p>
        </w:tc>
      </w:tr>
      <w:tr>
        <w:trPr/>
        <w:tc>
          <w:tcPr>
            <w:tcW w:w="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Form of Indemnification Agreement (incorporated by reference to Exhibit 10.6 on Form 8-K filed on November 4, 2021).</w:t>
              </w:r>
            </w:hyperlink>
          </w:p>
        </w:tc>
      </w:tr>
      <w:tr>
        <w:trPr/>
        <w:tc>
          <w:tcPr>
            <w:tcW w:w="7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AutoLotto, Inc. 2015 Stock Option/Stock Issuance Plan (incorporated by reference to Exhibit 10.8 on Form 8-K filed on November 4, 2021).</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Form of Restricted Stock Award Agreement under the AutoLotto, Inc. 2015 Stock Option/Stock Issuance Plan (incorporated by reference to Exhibit 10.9 on Form 8-K filed on November 4, 2021).</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"https://www.sec.gov/Archives/edgar/data/1673481/000121390021051465/fs42021a3_tridentacq.htm" \l "T3083"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Lottery.com 2021 Incentive Plan (incorporated by reference to Exhibit 10.7 on Form S-4 (Reg. No. 333- 257734), filed on October 5, 2021).</w:t>
            </w:r>
            <w:r>
              <w:rPr>
                <w:rStyle w:val="InternetLink"/>
                <w:smallCaps w:val="false"/>
                <w:caps w:val="false"/>
                <w:sz w:val="20"/>
                <w:i w:val="false"/>
                <w:b w:val="false"/>
                <w:rFonts w:ascii="Times New Roman;Times;Serif" w:hAnsi="Times New Roman;Times;Serif"/>
              </w:rPr>
              <w:fldChar w:fldCharType="end"/>
            </w:r>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Form of Option Award Agreement under the Lottery.com 2021 Incentive Plan (incorporated by reference to Exhibit 10.18 on Form 10-K filed on April 1, 2022).</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Form of Restricted Stock Award Agreement under the Lottery.com 2021 Incentive Plan (incorporated by reference to Exhibit 10.19 on Form 10-K filed on April 1, 2022).</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Director Restricted Stock Award Agreement under the Lottery.com 2021 Incentive Plan (incorporated by reference to Exhibit 10.20 on Form 10-K filed on April 1, 2022).</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Resignation and Release Agreement, dated July 22, 2022, by and between Lottery.com and Lawrence Anthony DiMatteo III (incorporated by reference to Exhibit 10.1 on Form 8-K filed on July 22, 2022).</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Loan Agreement (Deed), dated December 7, 2022, between Lottery.com and Woodford Eurasia Assets Ltd, as lender (incorporated by reference to Exhibit 10.24 of Form 10-K/A filed on May 10, 2023).</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Loan Agreement Deed, Debenture Deed and Securitization, dated December 7, 2022, between Lottery.com and Woodford Eurasia Assets Ltd, as security holder (incorporated by reference to Exhibit 10.25 of Form 10-K/A filed on May 10. 2023)</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Amended and Restatement Loan Agreement and Deed, dated August 8, 2023, between Lottery.com and United Capital Investments London Limited as lender (incorporated by reference to Exhibit 10.3 of Form 10-Q filed on August 22, 2023)</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Amendment to Amended and Restated Loan Agreement, dated as of August 18, 2023, by and between Lottery.com Inc. and United Capital Investments London Limited. (incorporated by reference to Exhibit 10.1 of Form 8-K filed on August 24, 2023)</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Business Loan Agreement dated January 4, 2022, between AutoLotto, Inc. and The Provident Bank (incorporated by reference to Exhibit 10.1 on Form 10-Q filed on May 22, 2023).</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$30,000,000 Promissory Note dated January 4, 2022, between AutoLotto, Inc. and The Provident Bank (incorporated by reference to Exhibit 10.2 on Form 10-Q filed on May 22, 2023).</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Amendment and Restatement Agreement in respect of Loan Agreement (Deed) dated December 7, 2022, between Lottery.com and Woodford Eurasia Assets Ltd. (incorporated by reference to Exhibit 10.28 of Form 10-K filed on June 15, 2023)</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Share Purchase and Sale Agreement between Lottery.com and DotCom Ventures Inc. dated July 22, 2025 (incorporated by reference to Exhibit 10.40 of Form 10-Q filed on August 19, 2025)</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w:anchor="ex10-32.htm">
              <w:r>
                <w:rPr>
                  <w:rStyle w:val="InternetLink"/>
                  <w:rFonts w:ascii="Times New Roman;Times;Serif" w:hAnsi="Times New Roman;Times;Serif"/>
                  <w:b w:val="false"/>
                  <w:i w:val="false"/>
                  <w:caps w:val="false"/>
                  <w:smallCaps w:val="false"/>
                  <w:sz w:val="20"/>
                </w:rPr>
                <w:t>Asset Purchase Agreement between Lottery.com and Galaxy Racer Holdings Limited dated July 30, 2025</w:t>
              </w:r>
            </w:hyperlink>
            <w:r>
              <w:rPr>
                <w:rFonts w:ascii="Times New Roman;Times;Serif" w:hAnsi="Times New Roman;Times;Serif"/>
                <w:b w:val="false"/>
                <w:i w:val="false"/>
                <w:caps w:val="false"/>
                <w:smallCaps w:val="false"/>
                <w:sz w:val="20"/>
              </w:rPr>
              <w:t xml:space="preserve"> </w:t>
            </w:r>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w:anchor="ex10-33.htm">
              <w:r>
                <w:rPr>
                  <w:rStyle w:val="InternetLink"/>
                  <w:rFonts w:ascii="Times New Roman;Times;Serif" w:hAnsi="Times New Roman;Times;Serif"/>
                  <w:b w:val="false"/>
                  <w:i w:val="false"/>
                  <w:caps w:val="false"/>
                  <w:smallCaps w:val="false"/>
                  <w:sz w:val="20"/>
                </w:rPr>
                <w:t>Share Purchase Agreement between Lottery.com and Plusevo Ltd dated March 12, 2025</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Stock Purchase Agreement Between Lottery.com Inc. and Generating Alpha Ltd. dated November 16, 2024. (incorporated by reference to Exhibit 10.27 of Form 10-Q filed on November 20, 2025)</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Amended -Stock Purchase Agreement Between Lottery.com Inc. and Generating Alpha Ltd. dated as of June 16, 2025. (incorporated by reference to Exhibit 10.35 of Form 10-Q filed on November 20, 2025)</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Short-term Convertible Note Agreement Between Lottery.com Inc. and Generating Alpha Ltd. dated September 22, 2025. (incorporated by reference to Exhibit 10.40 of Form 10-Q filed on November 20, 2025)</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Common Stock Purchase Warrant Agreement Between Lottery.com Inc. and Generating Alpha Ltd. dated September 22, 2025. (incorporated by reference to Exhibit 10.41 of Form 10-Q filed on November 20, 2025)</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Registration Rights Agreement Between Lottery.com Inc. and Generating Alpha Ltd. dated September 22, 2025. (incorporated by reference to Exhibit 10.42 of Form 10-Q filed on November 20, 2025)</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Securities Purchase Agreement Between Lottery.com Inc. and Generating Alpha Ltd. dated September 22, 2025 (incorporated by reference to Exhibit 10.43 of Form 10-Q filed on November 20, 2025)</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Asset Purchase Agreement Between Lottery.com Inc. and Galaxy Racer Holdings Limited dated July 30, 2025 (incorporated by reference to Exhibit 10.6 of Form 10-Q filed on August 19, 2025)</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Nook Holdings Share Purchase Agreement (incorporated by reference to Exhibit 10.50 of Form 10-K/A filed on June 6, 2024)</w:t>
              </w:r>
            </w:hyperlink>
          </w:p>
        </w:tc>
      </w:tr>
      <w:tr>
        <w:trPr/>
        <w:tc>
          <w:tcPr>
            <w:tcW w:w="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1"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Amendment 1 to Nook Holdings Share Purchase Agreement (incorporated by reference to Exhibit 10.51 of Form 10-K/A filed on June 6, 2024)</w:t>
              </w:r>
            </w:hyperlink>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0"/>
        <w:gridCol w:w="60"/>
        <w:gridCol w:w="9495"/>
      </w:tblGrid>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w:anchor="ex10-52.htm">
              <w:r>
                <w:rPr>
                  <w:rStyle w:val="InternetLink"/>
                  <w:rFonts w:ascii="Times New Roman;Times;Serif" w:hAnsi="Times New Roman;Times;Serif"/>
                  <w:b w:val="false"/>
                  <w:i w:val="false"/>
                  <w:caps w:val="false"/>
                  <w:smallCaps w:val="false"/>
                  <w:sz w:val="20"/>
                </w:rPr>
                <w:t>Amendment 2 to Nook Holdings Share Purchase Agreement</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Securities Purchase Agreement Between Lottery.com Inc. and Evergreen Capital Management, LLC (incorporated by reference to Exhibit 10.60 of Form 8-K filed on December 4, 2025)</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Senior Secured Promissory Note Between Lottery.com Inc. and Evergreen Capital Management, LLC (incorporated by reference to Exhibit 10.61 of Form 8-K filed on December 4, 2025)</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Loan Agreement, dated as of July 26, 2023, by and between Lottery.com Inc. and United Capital Investments London Limited (incorporated by reference to Exhibit 10.2 of Form 8-K filed on August 1, 2023).</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Amendment and Restatement Agreement in respect of Loan Agreement (Deed), dated as of June 12, 2023, between Lottery.com and Woodford Eurasia Assets Ltd. (incorporated by reference to Exhibit 10.28 of Form 10-K filed on June 15, 2023).</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Amended and Restated Loan Agreement, dated as of August 8, 2023, by and between Lottery.com Inc. and United Capital Investments London Limited (incorporated by reference to Exhibit 10.3 of Form 10-Q filed on August 22, 2023).</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Amendment to Amended and Restated Loan Agreement, dated as of August 18, 2023, by and between Lottery.com Inc. and United Capital Investments London Limited (incorporated by reference to Exhibit 10.1 of Form 8-K filed on August 24, 2023).</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w:anchor="ex10-66.htm">
              <w:r>
                <w:rPr>
                  <w:rStyle w:val="InternetLink"/>
                  <w:rFonts w:ascii="Times New Roman;Times;Serif" w:hAnsi="Times New Roman;Times;Serif"/>
                  <w:b w:val="false"/>
                  <w:i w:val="false"/>
                  <w:caps w:val="false"/>
                  <w:smallCaps w:val="false"/>
                  <w:sz w:val="20"/>
                </w:rPr>
                <w:t>Termination Letter for Loan Agreement with United Capital Investments Limited dated January 20,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w:anchor="ex10-67.htm">
              <w:r>
                <w:rPr>
                  <w:rStyle w:val="InternetLink"/>
                  <w:rFonts w:ascii="Times New Roman;Times;Serif" w:hAnsi="Times New Roman;Times;Serif"/>
                  <w:b w:val="false"/>
                  <w:i w:val="false"/>
                  <w:caps w:val="false"/>
                  <w:smallCaps w:val="false"/>
                  <w:sz w:val="20"/>
                </w:rPr>
                <w:t>Termination Letter for Securities Purchase Agreement with Evergreen Capital Management, LLC dated January 26,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Share Purchase Agreement by and between Sports Entertainment Gaming Global Corporation and Daniel Bailey for the Purchase of Veloce Esports Limited dated February 18, 2026 (incorporated by reference to Exhibit 10.70 on Form 8-K/A filed on May 5,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Share Purchase Agreement by and between Sports Entertainment Gaming Global Corporation and Darryl Eales for the Purchase of Veloce Esports Limited dated February 18, 2026 (incorporated by reference to Exhibit 10.71 on Form 8-K/A filed on May 5,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Share Purchase Agreement by and between Sports Entertainment Gaming Global Corporation and Andrew Webb for the Purchase of Veloce Esports Limited dated February 18, 2026 (incorporated by reference to Exhibit 10.72 on Form 8-K/A filed on May 5,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Share Purchase Agreement by and between Sports Entertainment Gaming Global Corporation and James Maclaurin for the Purchase of Veloce Esports Limited dated February 18, 2026 (incorporated by reference to Exhibit 10.73 on Form 8-K/A filed on May 5,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Share Purchase Agreement by and between Sports Entertainment Gaming Global Corporation and Jack Clarke for the Purchase of Veloce Esports Limited dated February 18, 2026 (incorporated by reference to Exhibit 10.74 on Form 8-K/A filed on May 5,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Share Purchase Agreement by and between Sports Entertainment Gaming Global Corporation and MPA Creative Limited for the Purchase of Veloce Esports Limited dated February 18, 2026 (incorporated by reference to Exhibit 10.75 on Form 8-K/A filed on May 5,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Share Purchase Agreement by and between Sports Entertainment Gaming Global Corporation and Crimson Swordblade Limited for the Purchase of Veloce Esports Limited dated February 18, 2026 (incorporated by reference to Exhibit 10.76 on Form 8-K/A filed on May 5,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Placement Agency Agreement dated January 16, 2026, between Lottery.Com Inc. and Dawson James Securities Inc. (incorporated by reference to Exhibit 1.1 of Form 8-K filed on January 20,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Securities Purchase Agreement dated January 16, 2026, between Lottery.Com Inc. and Dawson James Securities Inc. (incorporated by reference to Exhibit 10.1 of Form 8-K filed on January 20,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Common Stock Equity Distribution Agreement, dated February 18, 2026, by and between Sports Entertainment Gaming Global Corporation and Dawson James Securities, Inc. (incorporated by reference to Exhibit 1.1 of Form 8-K filed on February 19,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Placement Agency Agreement, dated March 16, 2026, by and between Sports Entertainment Gaming Global Corporation and Dawson James Securities, Inc. (incorporated by reference to Exhibit 1.1 of Form 8-K filed on March 18,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Securities Purchase Agreement, dated March 16, 2026, by and between Sports Entertainment Gaming Global Corporation and the Purchasers. (incorporated by reference to Exhibit 10.1 of Form 8-K filed on March 18,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Form of Convertible Promissory Note (incorporated by reference to Exhibit 10.2 of Form 8-K filed on March 18,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Registration Rights Agreement, dated March 16, 2026, by and between Sports Entertainment Gaming Global Corporation and the Purchasers (incorporated by reference to Exhibit 10.3 of Form 8-K filed on March 18, 2026).</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w:anchor="ex21-1.htm">
              <w:r>
                <w:rPr>
                  <w:rStyle w:val="InternetLink"/>
                  <w:rFonts w:ascii="Times New Roman;Times;Serif" w:hAnsi="Times New Roman;Times;Serif"/>
                  <w:b w:val="false"/>
                  <w:i w:val="false"/>
                  <w:caps w:val="false"/>
                  <w:smallCaps w:val="false"/>
                  <w:sz w:val="20"/>
                </w:rPr>
                <w:t>List of Subsidiaries of Lottery.com Inc.</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Principal Financial Officer and Principal Accounting Officer Pursuant to 18 U.S.C. Section 1350, as Adopted Pursuant to 18 U.S.C. Section 1350, as Adopted Pursuant to Section 906 of the Sarbanes-Oxley Act of 2002</w:t>
              </w:r>
            </w:hyperlink>
          </w:p>
        </w:tc>
      </w:tr>
      <w:tr>
        <w:trPr/>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 the instance document does not appear in the Interactive Data File because its XBRL tags are embedded within the Inline XBRL document</w:t>
            </w:r>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for the cover page of this Report on Form 10-K, included in the Exhibit 101 Inline XBRL Document Set.</w:t>
            </w:r>
          </w:p>
        </w:tc>
      </w:tr>
    </w:tbl>
    <w:p>
      <w:pPr>
        <w:pStyle w:val="TextBody"/>
        <w:bidi w:val="0"/>
        <w:spacing w:before="0" w:after="283"/>
        <w:jc w:val="left"/>
        <w:rPr/>
      </w:pPr>
      <w:r>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275"/>
        <w:gridCol w:w="2465"/>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Furnished herewith.</w:t>
            </w:r>
          </w:p>
        </w:tc>
      </w:tr>
      <w:tr>
        <w:trPr/>
        <w:tc>
          <w:tcPr>
            <w:tcW w:w="275"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283"/>
              <w:jc w:val="left"/>
              <w:rPr/>
            </w:pPr>
            <w:r>
              <w:rPr/>
              <w:t>Incorporated by reference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aps w:val="false"/>
                <w:smallCaps w:val="false"/>
              </w:rPr>
            </w:pPr>
            <w:r>
              <w:rPr>
                <w:caps w:val="false"/>
                <w:smallCaps w:val="false"/>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schedules and exhibits have been omitted pursuant to Item 601(a)(5) of Regulation S-K. The registrant hereby undertakes to furnish copies of any of the omitted schedules and exhibits upon request by the U.S. Securities and Exchange Commission. any of the omitted schedules and exhibits upon request by the U.S. Securities and Exchange Commission.</w:t>
            </w:r>
          </w:p>
        </w:tc>
      </w:tr>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portions of this exhibit have been omitted pursuant to Regulation S-K Item 601(b)(10)(iv). The Registrant agrees to furnish an unredacted copy of the exhibit to the SEC upon its request.</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management contract or compensatory plan or arrangement.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845" w:name="sk_013"/>
      <w:bookmarkEnd w:id="845"/>
      <w:r>
        <w:rPr>
          <w:rFonts w:ascii="Times New Roman;Times;Serif" w:hAnsi="Times New Roman;Times;Serif"/>
          <w:b/>
          <w:i w:val="false"/>
          <w:caps w:val="false"/>
          <w:smallCaps w:val="false"/>
          <w:sz w:val="20"/>
        </w:rPr>
        <w:t>Item 16. Form 10-K Summary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as amended, the Registrant has duly caused this Report to be signed on its behalf by the undersigned, thereunto duly authorized</w:t>
      </w:r>
      <w:r>
        <w:rPr>
          <w:rFonts w:ascii="Times New Roman;Times;Serif" w:hAnsi="Times New Roman;Times;Serif"/>
          <w:b/>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5969" w:type="dxa"/>
        <w:jc w:val="left"/>
        <w:tblInd w:w="0" w:type="dxa"/>
        <w:tblLayout w:type="fixed"/>
        <w:tblCellMar>
          <w:top w:w="0" w:type="dxa"/>
          <w:left w:w="0" w:type="dxa"/>
          <w:bottom w:w="0" w:type="dxa"/>
          <w:right w:w="0" w:type="dxa"/>
        </w:tblCellMar>
      </w:tblPr>
      <w:tblGrid>
        <w:gridCol w:w="470"/>
        <w:gridCol w:w="1130"/>
        <w:gridCol w:w="760"/>
        <w:gridCol w:w="3609"/>
      </w:tblGrid>
      <w:tr>
        <w:trPr/>
        <w:tc>
          <w:tcPr>
            <w:tcW w:w="16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36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Sports Entertainment Gaming Global Corporation.</w:t>
            </w:r>
          </w:p>
        </w:tc>
      </w:tr>
      <w:tr>
        <w:trPr/>
        <w:tc>
          <w:tcPr>
            <w:tcW w:w="16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3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10, 2026</w:t>
            </w:r>
          </w:p>
        </w:tc>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0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r>
      <w:tr>
        <w:trPr/>
        <w:tc>
          <w:tcPr>
            <w:tcW w:w="16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r>
      <w:tr>
        <w:trPr/>
        <w:tc>
          <w:tcPr>
            <w:tcW w:w="16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tc>
      </w:tr>
      <w:tr>
        <w:trPr/>
        <w:tc>
          <w:tcPr>
            <w:tcW w:w="16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left"/>
              <w:rPr>
                <w:caps w:val="false"/>
                <w:smallCaps w:val="false"/>
              </w:rPr>
            </w:pPr>
            <w:r>
              <w:rPr>
                <w:caps w:val="false"/>
                <w:smallCaps w:val="false"/>
              </w:rPr>
              <w:t> </w:t>
            </w:r>
          </w:p>
        </w:tc>
        <w:tc>
          <w:tcPr>
            <w:tcW w:w="3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spacing w:before="0" w:after="0"/>
        <w:jc w:val="left"/>
        <w:rPr>
          <w:caps w:val="false"/>
          <w:smallCaps w:val="false"/>
        </w:rPr>
      </w:pPr>
      <w:r>
        <w:rPr>
          <w:caps w:val="false"/>
          <w:smallCaps w:val="false"/>
        </w:rPr>
        <w:t> </w:t>
      </w:r>
    </w:p>
    <w:tbl>
      <w:tblPr>
        <w:tblW w:w="6945" w:type="dxa"/>
        <w:jc w:val="left"/>
        <w:tblInd w:w="0" w:type="dxa"/>
        <w:tblLayout w:type="fixed"/>
        <w:tblCellMar>
          <w:top w:w="0" w:type="dxa"/>
          <w:left w:w="0" w:type="dxa"/>
          <w:bottom w:w="28" w:type="dxa"/>
          <w:right w:w="0" w:type="dxa"/>
        </w:tblCellMar>
      </w:tblPr>
      <w:tblGrid>
        <w:gridCol w:w="2060"/>
        <w:gridCol w:w="60"/>
        <w:gridCol w:w="3620"/>
        <w:gridCol w:w="60"/>
        <w:gridCol w:w="1145"/>
      </w:tblGrid>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10, 2026</w:t>
            </w:r>
          </w:p>
        </w:tc>
      </w:tr>
      <w:tr>
        <w:trPr/>
        <w:tc>
          <w:tcPr>
            <w:tcW w:w="2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Marc Bircham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10, 2026</w:t>
            </w:r>
          </w:p>
        </w:tc>
      </w:tr>
      <w:tr>
        <w:trPr/>
        <w:tc>
          <w:tcPr>
            <w:tcW w:w="2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Bircham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 Bailey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10, 2026</w:t>
            </w:r>
          </w:p>
        </w:tc>
      </w:tr>
      <w:tr>
        <w:trPr/>
        <w:tc>
          <w:tcPr>
            <w:tcW w:w="2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Bailey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Christopher Gooding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10, 2026</w:t>
            </w:r>
          </w:p>
        </w:tc>
      </w:tr>
      <w:tr>
        <w:trPr/>
        <w:tc>
          <w:tcPr>
            <w:tcW w:w="2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Gooding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10, 2026</w:t>
            </w:r>
          </w:p>
        </w:tc>
      </w:tr>
      <w:tr>
        <w:trPr/>
        <w:tc>
          <w:tcPr>
            <w:tcW w:w="2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 Jordan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Tamer T. Hassan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10, 2026</w:t>
            </w:r>
          </w:p>
        </w:tc>
      </w:tr>
      <w:tr>
        <w:trPr/>
        <w:tc>
          <w:tcPr>
            <w:tcW w:w="2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Tamer T. Hassan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Warren Macal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10, 2026</w:t>
            </w:r>
          </w:p>
        </w:tc>
      </w:tr>
      <w:tr>
        <w:trPr/>
        <w:tc>
          <w:tcPr>
            <w:tcW w:w="20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Warren Macal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846" w:name="ex10-32.htm"/>
      <w:bookmarkStart w:id="847" w:name="ksex1032"/>
      <w:bookmarkEnd w:id="846"/>
      <w:bookmarkEnd w:id="84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Asset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xml:space="preserve">”) is entered into as of </w:t>
      </w:r>
      <w:r>
        <w:rPr>
          <w:rFonts w:ascii="Times New Roman;Times;Serif" w:hAnsi="Times New Roman;Times;Serif"/>
          <w:b/>
          <w:i w:val="false"/>
          <w:caps w:val="false"/>
          <w:smallCaps w:val="false"/>
          <w:sz w:val="20"/>
        </w:rPr>
        <w:t xml:space="preserve">July 30, 2025 </w:t>
      </w:r>
      <w:r>
        <w:rPr>
          <w:rFonts w:ascii="Times New Roman;Times;Serif" w:hAnsi="Times New Roman;Times;Serif"/>
          <w:b w:val="false"/>
          <w:i w:val="false"/>
          <w:caps w:val="false"/>
          <w:smallCaps w:val="false"/>
          <w:sz w:val="20"/>
        </w:rPr>
        <w:t>(the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xml:space="preserve">”), by and between </w:t>
      </w:r>
      <w:r>
        <w:rPr>
          <w:rFonts w:ascii="Times New Roman;Times;Serif" w:hAnsi="Times New Roman;Times;Serif"/>
          <w:b/>
          <w:i w:val="false"/>
          <w:caps w:val="false"/>
          <w:smallCaps w:val="false"/>
          <w:sz w:val="20"/>
        </w:rPr>
        <w:t>Lottery.com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SEGG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Galaxy Racer Holdings Limited</w:t>
      </w:r>
      <w:r>
        <w:rPr>
          <w:rFonts w:ascii="Times New Roman;Times;Serif" w:hAnsi="Times New Roman;Times;Serif"/>
          <w:b w:val="false"/>
          <w:i w:val="false"/>
          <w:caps w:val="false"/>
          <w:smallCaps w:val="false"/>
          <w:sz w:val="20"/>
        </w:rPr>
        <w:t>, a BVI entity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Each of Buyer and Seller may be referred to hereinafter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or, collectively,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Seller is the sole owner of the unencumbered assets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val="false"/>
          <w:i w:val="false"/>
          <w:caps w:val="false"/>
          <w:smallCaps w:val="false"/>
          <w:sz w:val="20"/>
          <w:u w:val="single"/>
        </w:rPr>
        <w:t>Assets</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Seller desires to sell the Assets to Buyer, and Buyer desires to purchase the Assets from Seller, on the terms and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promises and agreements herein contained, and certain other good and valuable consideration,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Recitals</w:t>
      </w:r>
      <w:r>
        <w:rPr>
          <w:rFonts w:ascii="Times New Roman;Times;Serif" w:hAnsi="Times New Roman;Times;Serif"/>
          <w:b w:val="false"/>
          <w:i w:val="false"/>
          <w:caps w:val="false"/>
          <w:smallCaps w:val="false"/>
          <w:sz w:val="20"/>
        </w:rPr>
        <w:t>. The foregoing recitals and all terms and conditions contained therein are material, substantive, and integral provisions of this Agreement and are enforceable as if hereinafter restated.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Buyer and Seller will engage in the following transactions (collectively,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prior to, at, or after the Closing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Payment of Purchase Price</w:t>
      </w:r>
      <w:r>
        <w:rPr>
          <w:rFonts w:ascii="Times New Roman;Times;Serif" w:hAnsi="Times New Roman;Times;Serif"/>
          <w:b w:val="false"/>
          <w:i w:val="false"/>
          <w:caps w:val="false"/>
          <w:smallCaps w:val="false"/>
          <w:sz w:val="20"/>
        </w:rPr>
        <w:t xml:space="preserve">. As consideration for the Assets, Buyer will, at Closing pay and deliver to Seller (or its designees) the sum of </w:t>
      </w:r>
      <w:r>
        <w:rPr>
          <w:rFonts w:ascii="Times New Roman;Times;Serif" w:hAnsi="Times New Roman;Times;Serif"/>
          <w:b/>
          <w:i w:val="false"/>
          <w:caps w:val="false"/>
          <w:smallCaps w:val="false"/>
          <w:sz w:val="20"/>
        </w:rPr>
        <w:t xml:space="preserve">Ten Million Dollars USD ($10,000,000.00) </w:t>
      </w:r>
      <w:r>
        <w:rPr>
          <w:rFonts w:ascii="Times New Roman;Times;Serif" w:hAnsi="Times New Roman;Times;Serif"/>
          <w:b w:val="false"/>
          <w:i w:val="false"/>
          <w:caps w:val="false"/>
          <w:smallCaps w:val="false"/>
          <w:sz w:val="20"/>
        </w:rPr>
        <w:t>(the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for 100% of the Assets. The Purchase Price is payable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Buyer to pay Seller (or its designees) </w:t>
      </w:r>
      <w:r>
        <w:rPr>
          <w:rFonts w:ascii="Times New Roman;Times;Serif" w:hAnsi="Times New Roman;Times;Serif"/>
          <w:b/>
          <w:i w:val="false"/>
          <w:caps w:val="false"/>
          <w:smallCaps w:val="false"/>
          <w:sz w:val="20"/>
        </w:rPr>
        <w:t xml:space="preserve">Five Million One Hundred Thousand Dollars USD ($5,100,000.00) </w:t>
      </w:r>
      <w:r>
        <w:rPr>
          <w:rFonts w:ascii="Times New Roman;Times;Serif" w:hAnsi="Times New Roman;Times;Serif"/>
          <w:b w:val="false"/>
          <w:i w:val="false"/>
          <w:caps w:val="false"/>
          <w:smallCaps w:val="false"/>
          <w:sz w:val="20"/>
        </w:rPr>
        <w:t>of the Purchase Price as Payment-In-Kind (as defined below) equivalent to the Purchase Price. The term “Payment-In-Kind shall be defined as restricted stock units of common shares in SEGG to be applied towards the Purchase Price at a fixed price of Three Dollar USD ($3.00) per share (the “</w:t>
      </w:r>
      <w:r>
        <w:rPr>
          <w:rFonts w:ascii="Times New Roman;Times;Serif" w:hAnsi="Times New Roman;Times;Serif"/>
          <w:b w:val="false"/>
          <w:i w:val="false"/>
          <w:caps w:val="false"/>
          <w:smallCaps w:val="false"/>
          <w:sz w:val="20"/>
          <w:u w:val="single"/>
        </w:rPr>
        <w:t>Fixed Price</w:t>
      </w:r>
      <w:r>
        <w:rPr>
          <w:rFonts w:ascii="Times New Roman;Times;Serif" w:hAnsi="Times New Roman;Times;Serif"/>
          <w:b w:val="false"/>
          <w:i w:val="false"/>
          <w:caps w:val="false"/>
          <w:smallCaps w:val="false"/>
          <w:sz w:val="20"/>
        </w:rPr>
        <w:t>”) irrespective of the trading price of SEGG stock at the execution of this Agreement or the Closing Date. At Closing, Buyer shall cause to be issued to Seller (or its designees) the equivalent in restricted stock units of common shares in SEGG to be applied towards the Purchase Price. Seller (or its designees) shall receive the Payment-In-Kind within three business days following the Closing Date. Any Payment-In-Kind made as part of the consideration to satisfy any portion of the Purchase Price shall carry full piggyback registrations rights for the benefit of Seller (or its designees);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Buyer to pay Seller (or its designees) </w:t>
      </w:r>
      <w:r>
        <w:rPr>
          <w:rFonts w:ascii="Times New Roman;Times;Serif" w:hAnsi="Times New Roman;Times;Serif"/>
          <w:b/>
          <w:i w:val="false"/>
          <w:caps w:val="false"/>
          <w:smallCaps w:val="false"/>
          <w:sz w:val="20"/>
        </w:rPr>
        <w:t xml:space="preserve">Four Million Nine Hundred Thousand Dollars USD ($4,900,000.00) </w:t>
      </w:r>
      <w:r>
        <w:rPr>
          <w:rFonts w:ascii="Times New Roman;Times;Serif" w:hAnsi="Times New Roman;Times;Serif"/>
          <w:b w:val="false"/>
          <w:i w:val="false"/>
          <w:caps w:val="false"/>
          <w:smallCaps w:val="false"/>
          <w:sz w:val="20"/>
        </w:rPr>
        <w:t>by transferring 49% ownership interest in NewCo, a newly formed wholly owned entity of SEGG to be domiciled at the discretion of Buyer that shall hold free and clear of any encumbrances all Assets.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Conveyance of Assets</w:t>
      </w:r>
      <w:r>
        <w:rPr>
          <w:rFonts w:ascii="Times New Roman;Times;Serif" w:hAnsi="Times New Roman;Times;Serif"/>
          <w:b w:val="false"/>
          <w:i w:val="false"/>
          <w:caps w:val="false"/>
          <w:smallCaps w:val="false"/>
          <w:sz w:val="20"/>
        </w:rPr>
        <w:t>. At Closing, Seller will: (i) sell and convey the Assets exclusively and in their entirety to Buyer by delivery in person or by conveyance of access to the log-in information regarding the Assets; and (ii) take all actions necessary to transfer the license registration of the Assets to Buyer and all other instruments of transfer necessary to transfer good and conveyable title to such Asset licenses, free and clear of all liens, charges, claims, and encumbrances of any nature and third- party licenses, other than the originating ownership licenses or terms of use related thereto (e.g., ICANN) and. Except for the Assets, no other assets or licenses of Seller are included in this Transactions.</w:t>
      </w:r>
    </w:p>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1 of 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i w:val="false"/>
          <w:smallCaps/>
          <w:sz w:val="20"/>
        </w:rPr>
        <w:t>sset</w:t>
      </w:r>
      <w:r>
        <w:rPr>
          <w:rFonts w:ascii="Times New Roman;Times;Serif" w:hAnsi="Times New Roman;Times;Serif"/>
          <w:b/>
          <w:i w:val="false"/>
          <w:caps w:val="false"/>
          <w:smallCaps w:val="false"/>
          <w:sz w:val="20"/>
        </w:rPr>
        <w:t xml:space="preserve"> P</w:t>
      </w:r>
      <w:r>
        <w:rPr>
          <w:rFonts w:ascii="Times New Roman;Times;Serif" w:hAnsi="Times New Roman;Times;Serif"/>
          <w:b/>
          <w:i w:val="false"/>
          <w:smallCaps/>
          <w:sz w:val="20"/>
        </w:rPr>
        <w:t>urchase</w:t>
      </w:r>
      <w:r>
        <w:rPr>
          <w:rFonts w:ascii="Times New Roman;Times;Serif" w:hAnsi="Times New Roman;Times;Serif"/>
          <w:b/>
          <w:i w:val="false"/>
          <w:caps w:val="false"/>
          <w:smallCaps w:val="false"/>
          <w:sz w:val="20"/>
        </w:rPr>
        <w:t xml:space="preserve"> A</w:t>
      </w:r>
      <w:r>
        <w:rPr>
          <w:rFonts w:ascii="Times New Roman;Times;Serif" w:hAnsi="Times New Roman;Times;Serif"/>
          <w:b/>
          <w:i w:val="false"/>
          <w:smallCaps/>
          <w:sz w:val="20"/>
        </w:rPr>
        <w:t>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True-Up</w:t>
      </w:r>
      <w:r>
        <w:rPr>
          <w:rFonts w:ascii="Times New Roman;Times;Serif" w:hAnsi="Times New Roman;Times;Serif"/>
          <w:b w:val="false"/>
          <w:i w:val="false"/>
          <w:caps w:val="false"/>
          <w:smallCaps w:val="false"/>
          <w:sz w:val="20"/>
        </w:rPr>
        <w:t>. The Parties agree that in the event that the closing price of the restricted stock units of common shares in SEGG. to be issued to the Seller as above is lower than the Fixed Price on July 30, 2026 (the “</w:t>
      </w:r>
      <w:r>
        <w:rPr>
          <w:rFonts w:ascii="Times New Roman;Times;Serif" w:hAnsi="Times New Roman;Times;Serif"/>
          <w:b w:val="false"/>
          <w:i w:val="false"/>
          <w:caps w:val="false"/>
          <w:smallCaps w:val="false"/>
          <w:sz w:val="20"/>
          <w:u w:val="single"/>
        </w:rPr>
        <w:t>Reprice Date</w:t>
      </w:r>
      <w:r>
        <w:rPr>
          <w:rFonts w:ascii="Times New Roman;Times;Serif" w:hAnsi="Times New Roman;Times;Serif"/>
          <w:b w:val="false"/>
          <w:i w:val="false"/>
          <w:caps w:val="false"/>
          <w:smallCaps w:val="false"/>
          <w:sz w:val="20"/>
        </w:rPr>
        <w:t>”), then the Fixed Price shall be adjusted downward to the VWAP of the common stock for the five (5) consecutive trading days immediately preceding the Reprice Date (the “</w:t>
      </w:r>
      <w:r>
        <w:rPr>
          <w:rFonts w:ascii="Times New Roman;Times;Serif" w:hAnsi="Times New Roman;Times;Serif"/>
          <w:b w:val="false"/>
          <w:i w:val="false"/>
          <w:caps w:val="false"/>
          <w:smallCaps w:val="false"/>
          <w:sz w:val="20"/>
          <w:u w:val="single"/>
        </w:rPr>
        <w:t>Market Price</w:t>
      </w:r>
      <w:r>
        <w:rPr>
          <w:rFonts w:ascii="Times New Roman;Times;Serif" w:hAnsi="Times New Roman;Times;Serif"/>
          <w:b w:val="false"/>
          <w:i w:val="false"/>
          <w:caps w:val="false"/>
          <w:smallCaps w:val="false"/>
          <w:sz w:val="20"/>
        </w:rPr>
        <w:t>”). Accordingly, Buyer shall be obligated to tender Seller additional restricted stock units of common shares in SEGG. to make up the difference between the Fixed Price and the Market Price.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Shortfall Earnout</w:t>
      </w:r>
      <w:r>
        <w:rPr>
          <w:rFonts w:ascii="Times New Roman;Times;Serif" w:hAnsi="Times New Roman;Times;Serif"/>
          <w:b w:val="false"/>
          <w:i w:val="false"/>
          <w:caps w:val="false"/>
          <w:smallCaps w:val="false"/>
          <w:sz w:val="20"/>
        </w:rPr>
        <w:t>. The Parties agree that if the NewCo’s valuation is less than a certain amount (“amount” to be agreed in the Schedule B and defined as “</w:t>
      </w:r>
      <w:r>
        <w:rPr>
          <w:rFonts w:ascii="Times New Roman;Times;Serif" w:hAnsi="Times New Roman;Times;Serif"/>
          <w:b w:val="false"/>
          <w:i w:val="false"/>
          <w:caps w:val="false"/>
          <w:smallCaps w:val="false"/>
          <w:sz w:val="20"/>
          <w:u w:val="single"/>
        </w:rPr>
        <w:t>Shortfall Earnout Amount</w:t>
      </w:r>
      <w:r>
        <w:rPr>
          <w:rFonts w:ascii="Times New Roman;Times;Serif" w:hAnsi="Times New Roman;Times;Serif"/>
          <w:b w:val="false"/>
          <w:i w:val="false"/>
          <w:caps w:val="false"/>
          <w:smallCaps w:val="false"/>
          <w:sz w:val="20"/>
        </w:rPr>
        <w:t>”) on June 30, 2027, then Seller’s equity in NewCo and SEGG (respectively) shall be diluted down on July 1, 2027 by certain percentages prorated based on the Shortfall Earnout Amount (the “</w:t>
      </w:r>
      <w:r>
        <w:rPr>
          <w:rFonts w:ascii="Times New Roman;Times;Serif" w:hAnsi="Times New Roman;Times;Serif"/>
          <w:b w:val="false"/>
          <w:i w:val="false"/>
          <w:caps w:val="false"/>
          <w:smallCaps w:val="false"/>
          <w:sz w:val="20"/>
          <w:u w:val="single"/>
        </w:rPr>
        <w:t>Shortfall Earnout Equity</w:t>
      </w:r>
      <w:r>
        <w:rPr>
          <w:rFonts w:ascii="Times New Roman;Times;Serif" w:hAnsi="Times New Roman;Times;Serif"/>
          <w:b w:val="false"/>
          <w:i w:val="false"/>
          <w:caps w:val="false"/>
          <w:smallCaps w:val="false"/>
          <w:sz w:val="20"/>
        </w:rPr>
        <w:t>”). Shortfall Earnout Amount and Shortfall Earnout Equity collectively referred to herein as “</w:t>
      </w:r>
      <w:r>
        <w:rPr>
          <w:rFonts w:ascii="Times New Roman;Times;Serif" w:hAnsi="Times New Roman;Times;Serif"/>
          <w:b w:val="false"/>
          <w:i w:val="false"/>
          <w:caps w:val="false"/>
          <w:smallCaps w:val="false"/>
          <w:sz w:val="20"/>
          <w:u w:val="single"/>
        </w:rPr>
        <w:t>Reverse Earnou</w:t>
      </w:r>
      <w:r>
        <w:rPr>
          <w:rFonts w:ascii="Times New Roman;Times;Serif" w:hAnsi="Times New Roman;Times;Serif"/>
          <w:b/>
          <w:i w:val="false"/>
          <w:caps w:val="false"/>
          <w:smallCaps w:val="false"/>
          <w:sz w:val="20"/>
        </w:rPr>
        <w:t>t</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No Excessive Earnout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Alternatively, the Parties further agree that no excessive earnout amount shall be included in the SPA</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term “business day” means any day of the week other than Saturday, Sunday, or any other day on which Nasdaq is closed for business. The term “piggyback registration rights” means the right for all Payment-In-Kind shares of SEGG issued at Closing or upon True-Up to be registered alongside any other shares of SEGG that are registered for sale from time to time with the Securities and Exchange Commission (“SEC”) for offer or sale to the public, including pursuant to any amendment of any existing effective or pending registration as at Closing; provided, however, that such term will exclude: (i) any such registration statement that is for the benefit of reselling shareholders who have received shares from SEGG in exchange for cryptocurrency; and (ii) any prior registration statement that excludes the shares of reselling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Limited Assumption of Liabilities</w:t>
      </w:r>
      <w:r>
        <w:rPr>
          <w:rFonts w:ascii="Times New Roman;Times;Serif" w:hAnsi="Times New Roman;Times;Serif"/>
          <w:b w:val="false"/>
          <w:i w:val="false"/>
          <w:caps w:val="false"/>
          <w:smallCaps w:val="false"/>
          <w:sz w:val="20"/>
        </w:rPr>
        <w:t>. Buyer does not assume any responsibility for any liabilities or obligations of Seller, fixed or contingent, arising prior to the Closing of the Transactions. No fees, expenses, liabilities, or obligations are being assumed by Buyer, and all such liabilities and obligations incurred by Seller prior to the Effective Date will remain the sole responsibility of Seller. Without limiting the generality of the foregoing, Buyer will not assume, purchase, or be obligated on any existing contracts, licenses, or any ongoing obligations currently existing and binding upon Seller, unless otherwise expressly assumed by Buyer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Bills of Sale and Assignments</w:t>
      </w:r>
      <w:r>
        <w:rPr>
          <w:rFonts w:ascii="Times New Roman;Times;Serif" w:hAnsi="Times New Roman;Times;Serif"/>
          <w:b w:val="false"/>
          <w:i w:val="false"/>
          <w:caps w:val="false"/>
          <w:smallCaps w:val="false"/>
          <w:sz w:val="20"/>
        </w:rPr>
        <w:t>. Seller agrees to execute any separate bills of sale and assignments of title, in recordable form, as may reasonably be requested by Buyer to effect the sales and assignments embodied in the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All Transactions will be conducted and fully performed on a date to be determined by the Parties after the satisfaction of each Closing Contingency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which date will be on or before 5:00 p.m., Eastern Time, on or before </w:t>
      </w:r>
      <w:r>
        <w:rPr>
          <w:rFonts w:ascii="Times New Roman;Times;Serif" w:hAnsi="Times New Roman;Times;Serif"/>
          <w:b/>
          <w:i w:val="false"/>
          <w:caps w:val="false"/>
          <w:smallCaps w:val="false"/>
          <w:sz w:val="20"/>
        </w:rPr>
        <w:t xml:space="preserve">August 1, 2025 </w:t>
      </w:r>
      <w:r>
        <w:rPr>
          <w:rFonts w:ascii="Times New Roman;Times;Serif" w:hAnsi="Times New Roman;Times;Serif"/>
          <w:b w:val="false"/>
          <w:i w:val="false"/>
          <w:caps w:val="false"/>
          <w:smallCaps w:val="false"/>
          <w:sz w:val="20"/>
        </w:rPr>
        <w:t>(the “</w:t>
      </w:r>
      <w:r>
        <w:rPr>
          <w:rFonts w:ascii="Times New Roman;Times;Serif" w:hAnsi="Times New Roman;Times;Serif"/>
          <w:b w:val="false"/>
          <w:i w:val="false"/>
          <w:caps w:val="false"/>
          <w:smallCaps w:val="false"/>
          <w:sz w:val="20"/>
          <w:u w:val="single"/>
        </w:rPr>
        <w:t>Closing Deadline</w:t>
      </w:r>
      <w:r>
        <w:rPr>
          <w:rFonts w:ascii="Times New Roman;Times;Serif" w:hAnsi="Times New Roman;Times;Serif"/>
          <w:b w:val="false"/>
          <w:i w:val="false"/>
          <w:caps w:val="false"/>
          <w:smallCaps w:val="false"/>
          <w:sz w:val="20"/>
        </w:rPr>
        <w:t>”) or as extended by Buyer as reasonably and commercially required to complete the Transactions as contemplated in this Agreement.</w:t>
      </w:r>
    </w:p>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2 of 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i w:val="false"/>
          <w:smallCaps/>
          <w:sz w:val="20"/>
        </w:rPr>
        <w:t>sset</w:t>
      </w:r>
      <w:r>
        <w:rPr>
          <w:rFonts w:ascii="Times New Roman;Times;Serif" w:hAnsi="Times New Roman;Times;Serif"/>
          <w:b/>
          <w:i w:val="false"/>
          <w:caps w:val="false"/>
          <w:smallCaps w:val="false"/>
          <w:sz w:val="20"/>
        </w:rPr>
        <w:t xml:space="preserve"> P</w:t>
      </w:r>
      <w:r>
        <w:rPr>
          <w:rFonts w:ascii="Times New Roman;Times;Serif" w:hAnsi="Times New Roman;Times;Serif"/>
          <w:b/>
          <w:i w:val="false"/>
          <w:smallCaps/>
          <w:sz w:val="20"/>
        </w:rPr>
        <w:t>urchase</w:t>
      </w:r>
      <w:r>
        <w:rPr>
          <w:rFonts w:ascii="Times New Roman;Times;Serif" w:hAnsi="Times New Roman;Times;Serif"/>
          <w:b/>
          <w:i w:val="false"/>
          <w:caps w:val="false"/>
          <w:smallCaps w:val="false"/>
          <w:sz w:val="20"/>
        </w:rPr>
        <w:t xml:space="preserve"> A</w:t>
      </w:r>
      <w:r>
        <w:rPr>
          <w:rFonts w:ascii="Times New Roman;Times;Serif" w:hAnsi="Times New Roman;Times;Serif"/>
          <w:b/>
          <w:i w:val="false"/>
          <w:smallCaps/>
          <w:sz w:val="20"/>
        </w:rPr>
        <w:t>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Closing Contingencies</w:t>
      </w:r>
      <w:r>
        <w:rPr>
          <w:rFonts w:ascii="Times New Roman;Times;Serif" w:hAnsi="Times New Roman;Times;Serif"/>
          <w:b w:val="false"/>
          <w:i w:val="false"/>
          <w:caps w:val="false"/>
          <w:smallCaps w:val="false"/>
          <w:sz w:val="20"/>
        </w:rPr>
        <w:t>. It is acknowledged and agreed by the Parties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and every Transaction contemplated by this Agreement is contingent upon and subject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Formation of NewCo by Buyer;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ability of each Party to materially perform each other material Closing obligation hereunder by the Closing Deadline (each a “</w:t>
      </w:r>
      <w:r>
        <w:rPr>
          <w:rFonts w:ascii="Times New Roman;Times;Serif" w:hAnsi="Times New Roman;Times;Serif"/>
          <w:b w:val="false"/>
          <w:i w:val="false"/>
          <w:caps w:val="false"/>
          <w:smallCaps w:val="false"/>
          <w:sz w:val="20"/>
          <w:u w:val="single"/>
        </w:rPr>
        <w:t>Closing Contingency</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Party will be liable to the other Party for any breakup fee or otherwise for any failure to close the Transactions due to a Closing Contingency that is not cured or remedied by the non-performing Party or mutually resolved by the Parties in writing on or before the Closing Deadline, or any permitted extensions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Representations and Warranties of Seller</w:t>
      </w:r>
      <w:r>
        <w:rPr>
          <w:rFonts w:ascii="Times New Roman;Times;Serif" w:hAnsi="Times New Roman;Times;Serif"/>
          <w:b w:val="false"/>
          <w:i w:val="false"/>
          <w:caps w:val="false"/>
          <w:smallCaps w:val="false"/>
          <w:sz w:val="20"/>
        </w:rPr>
        <w:t>. Seller represents and warrants to Buyer as of the Effective Date and at the Closing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Active Litigation</w:t>
      </w:r>
      <w:r>
        <w:rPr>
          <w:rFonts w:ascii="Times New Roman;Times;Serif" w:hAnsi="Times New Roman;Times;Serif"/>
          <w:b w:val="false"/>
          <w:i w:val="false"/>
          <w:caps w:val="false"/>
          <w:smallCaps w:val="false"/>
          <w:sz w:val="20"/>
        </w:rPr>
        <w:t>. To Seller’s knowledge, there is no action, suit, proceeding, inquiry, or investigation by or before any court, governmental agency, public board or body pending or, to the knowledge of Seller, threatened against the Assets or enjoining Seller’s consummation of the Transactions.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Regulatory Restrictions</w:t>
      </w:r>
      <w:r>
        <w:rPr>
          <w:rFonts w:ascii="Times New Roman;Times;Serif" w:hAnsi="Times New Roman;Times;Serif"/>
          <w:b w:val="false"/>
          <w:i w:val="false"/>
          <w:caps w:val="false"/>
          <w:smallCaps w:val="false"/>
          <w:sz w:val="20"/>
        </w:rPr>
        <w:t>. Neither Seller nor the Assets are the subject of or party to a memorandum of understanding or any supervisory agreements, cease-and-desist orders, consent agreements, or regulatory restrictions that would affect Seller’s ability to consummate the Transactions.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Authority to Contract</w:t>
      </w:r>
      <w:r>
        <w:rPr>
          <w:rFonts w:ascii="Times New Roman;Times;Serif" w:hAnsi="Times New Roman;Times;Serif"/>
          <w:b w:val="false"/>
          <w:i w:val="false"/>
          <w:caps w:val="false"/>
          <w:smallCaps w:val="false"/>
          <w:sz w:val="20"/>
        </w:rPr>
        <w:t>. Seller has full legal power and authority to perform its obligations under this Agreement, and this Agreement constitutes a legal, valid, and binding obligation of Seller enforceable against it in accordance with its terms, except as enforcement may be limited by bankruptcy, insolvency, liquidation, or other similar laws affecting generally the enforcement of creditors’ rights.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Seller has good and conveyable license or title to the Assets, free and clear of all liens, charges, claims, and encumbrances or third-party licenses of any nature, subject to the terms and conditions of use dictated by the issuers of any domain name licenses or account holder agreements.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Past Due Accounts</w:t>
      </w:r>
      <w:r>
        <w:rPr>
          <w:rFonts w:ascii="Times New Roman;Times;Serif" w:hAnsi="Times New Roman;Times;Serif"/>
          <w:b w:val="false"/>
          <w:i w:val="false"/>
          <w:caps w:val="false"/>
          <w:smallCaps w:val="false"/>
          <w:sz w:val="20"/>
        </w:rPr>
        <w:t>. All Seller third-party accounts relating to the Asset licenses: (i) have positive balances, are current, or have balances not in excess of thirty (30) days in arrears as of the Effective Date; and (ii) are not subject to any known or anticipated third-party claim or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Buyer shall not be responsible for any any brokerage, finder’s, or other fee or commission in connection with the Transactions based upon arrangements made by or on behalf of Seller.</w:t>
      </w:r>
    </w:p>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3 of 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i w:val="false"/>
          <w:smallCaps/>
          <w:sz w:val="20"/>
        </w:rPr>
        <w:t>sset</w:t>
      </w:r>
      <w:r>
        <w:rPr>
          <w:rFonts w:ascii="Times New Roman;Times;Serif" w:hAnsi="Times New Roman;Times;Serif"/>
          <w:b/>
          <w:i w:val="false"/>
          <w:caps w:val="false"/>
          <w:smallCaps w:val="false"/>
          <w:sz w:val="20"/>
        </w:rPr>
        <w:t xml:space="preserve"> P</w:t>
      </w:r>
      <w:r>
        <w:rPr>
          <w:rFonts w:ascii="Times New Roman;Times;Serif" w:hAnsi="Times New Roman;Times;Serif"/>
          <w:b/>
          <w:i w:val="false"/>
          <w:smallCaps/>
          <w:sz w:val="20"/>
        </w:rPr>
        <w:t>urchase</w:t>
      </w:r>
      <w:r>
        <w:rPr>
          <w:rFonts w:ascii="Times New Roman;Times;Serif" w:hAnsi="Times New Roman;Times;Serif"/>
          <w:b/>
          <w:i w:val="false"/>
          <w:caps w:val="false"/>
          <w:smallCaps w:val="false"/>
          <w:sz w:val="20"/>
        </w:rPr>
        <w:t xml:space="preserve"> A</w:t>
      </w:r>
      <w:r>
        <w:rPr>
          <w:rFonts w:ascii="Times New Roman;Times;Serif" w:hAnsi="Times New Roman;Times;Serif"/>
          <w:b/>
          <w:i w:val="false"/>
          <w:smallCaps/>
          <w:sz w:val="20"/>
        </w:rPr>
        <w:t>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Disclaimer of Other Representations and Warranties</w:t>
      </w:r>
      <w:r>
        <w:rPr>
          <w:rFonts w:ascii="Times New Roman;Times;Serif" w:hAnsi="Times New Roman;Times;Serif"/>
          <w:b w:val="false"/>
          <w:i w:val="false"/>
          <w:caps w:val="false"/>
          <w:smallCaps w:val="false"/>
          <w:sz w:val="20"/>
        </w:rPr>
        <w:t>. The Assets are conveyed to Buyer with express and implied warranties, including, but not limited to, the warranties of merchantability, fitness for a particular purpose, and non-infringement, and Seller specifically claims such representations or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Representations and Warranties of Buyer</w:t>
      </w:r>
      <w:r>
        <w:rPr>
          <w:rFonts w:ascii="Times New Roman;Times;Serif" w:hAnsi="Times New Roman;Times;Serif"/>
          <w:b w:val="false"/>
          <w:i w:val="false"/>
          <w:caps w:val="false"/>
          <w:smallCaps w:val="false"/>
          <w:sz w:val="20"/>
        </w:rPr>
        <w:t>. Buyer represents and warrants to Seller as of the Effective Date and at the Closing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Authority to Contract</w:t>
      </w:r>
      <w:r>
        <w:rPr>
          <w:rFonts w:ascii="Times New Roman;Times;Serif" w:hAnsi="Times New Roman;Times;Serif"/>
          <w:b w:val="false"/>
          <w:i w:val="false"/>
          <w:caps w:val="false"/>
          <w:smallCaps w:val="false"/>
          <w:sz w:val="20"/>
        </w:rPr>
        <w:t>. Buyer has full legal power and authority to perform its obligations under this Agreement, and this Agreement constitutes a legal, valid, and binding obligation of Buyer enforceable against it in accordance with its terms except as enforcement may be limited by bankruptcy, insolvency, liquidation, or other similar laws affecting generally the enforcement of creditors’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No broker, finder, or investment banker is entitled to any brokerage, finder’s, or other fee or commission in connection with the Transactions based upon arrangements made by or on behalf of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Financing Commitment</w:t>
      </w:r>
      <w:r>
        <w:rPr>
          <w:rFonts w:ascii="Times New Roman;Times;Serif" w:hAnsi="Times New Roman;Times;Serif"/>
          <w:b w:val="false"/>
          <w:i w:val="false"/>
          <w:caps w:val="false"/>
          <w:smallCaps w:val="false"/>
          <w:sz w:val="20"/>
        </w:rPr>
        <w:t>. Buyer shall commit financing to NewCo up to Fifteen Million Dollars USD ($15,000,000.00) (the “</w:t>
      </w:r>
      <w:r>
        <w:rPr>
          <w:rFonts w:ascii="Times New Roman;Times;Serif" w:hAnsi="Times New Roman;Times;Serif"/>
          <w:b w:val="false"/>
          <w:i w:val="false"/>
          <w:caps w:val="false"/>
          <w:smallCaps w:val="false"/>
          <w:sz w:val="20"/>
          <w:u w:val="single"/>
        </w:rPr>
        <w:t>Financing Commitment</w:t>
      </w:r>
      <w:r>
        <w:rPr>
          <w:rFonts w:ascii="Times New Roman;Times;Serif" w:hAnsi="Times New Roman;Times;Serif"/>
          <w:b w:val="false"/>
          <w:i w:val="false"/>
          <w:caps w:val="false"/>
          <w:smallCaps w:val="false"/>
          <w:sz w:val="20"/>
        </w:rPr>
        <w:t>”) during the first year, under customary financing terms applicable in the United States of America with an interest rate not to exceed statutory usuary limitations (the “</w:t>
      </w:r>
      <w:r>
        <w:rPr>
          <w:rFonts w:ascii="Times New Roman;Times;Serif" w:hAnsi="Times New Roman;Times;Serif"/>
          <w:b w:val="false"/>
          <w:i w:val="false"/>
          <w:caps w:val="false"/>
          <w:smallCaps w:val="false"/>
          <w:sz w:val="20"/>
          <w:u w:val="single"/>
        </w:rPr>
        <w:t>SEGG Note</w:t>
      </w:r>
      <w:r>
        <w:rPr>
          <w:rFonts w:ascii="Times New Roman;Times;Serif" w:hAnsi="Times New Roman;Times;Serif"/>
          <w:b w:val="false"/>
          <w:i w:val="false"/>
          <w:caps w:val="false"/>
          <w:smallCaps w:val="false"/>
          <w:sz w:val="20"/>
        </w:rPr>
        <w:t>”). Notwithstanding the foregoing, the Financing Commitment shall be subject to Buyer’s prior approval (in writing) of certain licenses for football leagues or other sports leagues. For clarity, Buyer shall have the right at its sole discretion to review, select and which licenses, broadcasting or streaming rights for football leagues or other sports leagues NewCo enters into.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Termination and Survival</w:t>
      </w:r>
      <w:r>
        <w:rPr>
          <w:rFonts w:ascii="Times New Roman;Times;Serif" w:hAnsi="Times New Roman;Times;Serif"/>
          <w:b w:val="false"/>
          <w:i w:val="false"/>
          <w:caps w:val="false"/>
          <w:smallCaps w:val="false"/>
          <w:sz w:val="20"/>
        </w:rPr>
        <w:t>. This Agreement will commence on the Effective Date and terminate in the event the Closing has not occurred by the Closing Deadline, as may be extended pursuant hereto. The representations and warranties of the Parties contained in this Agreement, including the Schedules and Exhibits attached hereto, or in any writing delivered pursuant to the provisions hereof, shall survive the Closing for a period of one (1)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Each Party agrees to safeguard and hold confidential from disclosure to unauthorized third parties all non-public information relating to this Agreement and the mutual business dealings of the Parties. For purposes of the foregoing, only officers, directors, and employees of either Party or its affiliates, including bankers, broker-dealers, accountants, auditors, and attorneys, shall be authorized parties on a ‘need to know basis’ consistent with their respective positions, legal obligations, and responsibilities. Each Party agrees that it will not make any statements or representations, or otherwise communicate, directly or indirectly, in writing, orally, or otherwise, or take any action which may, directly or indirectly, disparage any Party, its affiliates, or their respective officers, directors, employees, advisors, businesses, or reputations. Notwithstanding the foregoing, nothing in this Agreement shall preclude a Party from making truthful statements or disclosures that are required by applicable law, regulation, or legal process or otherwise make certain public announcements with the consent of the other Party.</w:t>
      </w:r>
    </w:p>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4 of 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i w:val="false"/>
          <w:smallCaps/>
          <w:sz w:val="20"/>
        </w:rPr>
        <w:t>sset</w:t>
      </w:r>
      <w:r>
        <w:rPr>
          <w:rFonts w:ascii="Times New Roman;Times;Serif" w:hAnsi="Times New Roman;Times;Serif"/>
          <w:b/>
          <w:i w:val="false"/>
          <w:caps w:val="false"/>
          <w:smallCaps w:val="false"/>
          <w:sz w:val="20"/>
        </w:rPr>
        <w:t xml:space="preserve"> P</w:t>
      </w:r>
      <w:r>
        <w:rPr>
          <w:rFonts w:ascii="Times New Roman;Times;Serif" w:hAnsi="Times New Roman;Times;Serif"/>
          <w:b/>
          <w:i w:val="false"/>
          <w:smallCaps/>
          <w:sz w:val="20"/>
        </w:rPr>
        <w:t>urchase</w:t>
      </w:r>
      <w:r>
        <w:rPr>
          <w:rFonts w:ascii="Times New Roman;Times;Serif" w:hAnsi="Times New Roman;Times;Serif"/>
          <w:b/>
          <w:i w:val="false"/>
          <w:caps w:val="false"/>
          <w:smallCaps w:val="false"/>
          <w:sz w:val="20"/>
        </w:rPr>
        <w:t xml:space="preserve"> A</w:t>
      </w:r>
      <w:r>
        <w:rPr>
          <w:rFonts w:ascii="Times New Roman;Times;Serif" w:hAnsi="Times New Roman;Times;Serif"/>
          <w:b/>
          <w:i w:val="false"/>
          <w:smallCaps/>
          <w:sz w:val="20"/>
        </w:rPr>
        <w:t>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Indemnities</w:t>
      </w:r>
      <w:r>
        <w:rPr>
          <w:rFonts w:ascii="Times New Roman;Times;Serif" w:hAnsi="Times New Roman;Times;Serif"/>
          <w:b w:val="false"/>
          <w:i w:val="false"/>
          <w:caps w:val="false"/>
          <w:smallCaps w:val="false"/>
          <w:sz w:val="20"/>
        </w:rPr>
        <w:t>. The Parties each agree to indemnify and hold harmless (the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the other Party and all of its officers, directors, employees, and agents (the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from and against any and all liability, claim, cost, or expense (including court costs and attorney’s fees) incurred by the Indemnified Party attributable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Breach</w:t>
      </w:r>
      <w:r>
        <w:rPr>
          <w:rFonts w:ascii="Times New Roman;Times;Serif" w:hAnsi="Times New Roman;Times;Serif"/>
          <w:b w:val="false"/>
          <w:i w:val="false"/>
          <w:caps w:val="false"/>
          <w:smallCaps w:val="false"/>
          <w:sz w:val="20"/>
        </w:rPr>
        <w:t>. A material breach of any material representation or warranty by the Indemnifying Party, its officers, directors, employees, or agents pursuant to this Agreement;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Any default by the Indemnifying Party, its officers, directors, employees, or agents in any of its obligations or covenants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Third-Party Beneficiaries</w:t>
      </w:r>
      <w:r>
        <w:rPr>
          <w:rFonts w:ascii="Times New Roman;Times;Serif" w:hAnsi="Times New Roman;Times;Serif"/>
          <w:b w:val="false"/>
          <w:i w:val="false"/>
          <w:caps w:val="false"/>
          <w:smallCaps w:val="false"/>
          <w:sz w:val="20"/>
        </w:rPr>
        <w:t>. This Agreement does not confer any rights or remedies upon any third parties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under this Agreement will be in writing and will be 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Buyer,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Lottery.com Inc.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5049 Edwards Road,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 Worth, Texas 76109</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to:</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matthew.mcgahan@lottery.com</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not constitute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Seller,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Galaxy Racer Holdings Limited (“GXR”)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Paul P. R. Phanbuh</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Vistra Corporate Services Centre, Wickhams Cay II,</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 Town, Tortola, British Virgin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to be sent or delivered hereunder will be deemed to be given or become effective for all purposes of this Agreement as follows: (i) when delivered in person, when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when sent by mail, when received by the person to whom it is given, unless it is mailed by registered, certified or express mail, in which case it will be deemed given or effective on the earlier of the date of receipt or refusal; and (iii) when sent by electronic mail, facsimile or other form of electronic transmission, twelve (12) hours after the transmission with proof that it was sent to the correct electronic mail address, telephone number or similar address,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Litigation Notices</w:t>
      </w:r>
      <w:r>
        <w:rPr>
          <w:rFonts w:ascii="Times New Roman;Times;Serif" w:hAnsi="Times New Roman;Times;Serif"/>
          <w:b w:val="false"/>
          <w:i w:val="false"/>
          <w:caps w:val="false"/>
          <w:smallCaps w:val="false"/>
          <w:sz w:val="20"/>
        </w:rPr>
        <w:t>. In the event a subpoena or other legal process including any notice, order, or inquiry from any state or federal regulatory authority concerning the Assets is served upon Seller, Seller agrees that it will notify Buyer immediately upon receipt of such legal process and will cooperate in a lawful effort to comply with or contest the validity of the legal process, at Buyer’s sole cost and expense.</w:t>
      </w:r>
    </w:p>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5 of 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i w:val="false"/>
          <w:smallCaps/>
          <w:sz w:val="20"/>
        </w:rPr>
        <w:t>sset</w:t>
      </w:r>
      <w:r>
        <w:rPr>
          <w:rFonts w:ascii="Times New Roman;Times;Serif" w:hAnsi="Times New Roman;Times;Serif"/>
          <w:b/>
          <w:i w:val="false"/>
          <w:caps w:val="false"/>
          <w:smallCaps w:val="false"/>
          <w:sz w:val="20"/>
        </w:rPr>
        <w:t xml:space="preserve"> P</w:t>
      </w:r>
      <w:r>
        <w:rPr>
          <w:rFonts w:ascii="Times New Roman;Times;Serif" w:hAnsi="Times New Roman;Times;Serif"/>
          <w:b/>
          <w:i w:val="false"/>
          <w:smallCaps/>
          <w:sz w:val="20"/>
        </w:rPr>
        <w:t>urchase</w:t>
      </w:r>
      <w:r>
        <w:rPr>
          <w:rFonts w:ascii="Times New Roman;Times;Serif" w:hAnsi="Times New Roman;Times;Serif"/>
          <w:b/>
          <w:i w:val="false"/>
          <w:caps w:val="false"/>
          <w:smallCaps w:val="false"/>
          <w:sz w:val="20"/>
        </w:rPr>
        <w:t xml:space="preserve"> A</w:t>
      </w:r>
      <w:r>
        <w:rPr>
          <w:rFonts w:ascii="Times New Roman;Times;Serif" w:hAnsi="Times New Roman;Times;Serif"/>
          <w:b/>
          <w:i w:val="false"/>
          <w:smallCaps/>
          <w:sz w:val="20"/>
        </w:rPr>
        <w:t>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Costs and Fees</w:t>
      </w:r>
      <w:r>
        <w:rPr>
          <w:rFonts w:ascii="Times New Roman;Times;Serif" w:hAnsi="Times New Roman;Times;Serif"/>
          <w:b w:val="false"/>
          <w:i w:val="false"/>
          <w:caps w:val="false"/>
          <w:smallCaps w:val="false"/>
          <w:sz w:val="20"/>
        </w:rPr>
        <w:t>. Each Party agrees to pay its own costs, expenses, and attorneys’ fees incurred in connection with this Agreement and any enforcement hereof. After Closing, Buyer shall be liable for any license or use fees related to the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Further Acts and Instruments</w:t>
      </w:r>
      <w:r>
        <w:rPr>
          <w:rFonts w:ascii="Times New Roman;Times;Serif" w:hAnsi="Times New Roman;Times;Serif"/>
          <w:b w:val="false"/>
          <w:i w:val="false"/>
          <w:caps w:val="false"/>
          <w:smallCaps w:val="false"/>
          <w:sz w:val="20"/>
        </w:rPr>
        <w:t>. Each Party agrees to execute and deliver such other and further instruments and to do such other and further acts as may be necessary or desirable to effect the transactions contemplated in this Agreement and carry out the intent and purpose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Call Option</w:t>
      </w:r>
      <w:r>
        <w:rPr>
          <w:rFonts w:ascii="Times New Roman;Times;Serif" w:hAnsi="Times New Roman;Times;Serif"/>
          <w:b w:val="false"/>
          <w:i w:val="false"/>
          <w:caps w:val="false"/>
          <w:smallCaps w:val="false"/>
          <w:sz w:val="20"/>
        </w:rPr>
        <w:t>. The Parties agree to enter into a call option agreement, whereby Buyer has the irrevocable right to acquire any remaining interest in NewCo up to100% interest in NewCo at the valuation mutually agreed to and later set forth in in the call option agreement, (the “</w:t>
      </w:r>
      <w:r>
        <w:rPr>
          <w:rFonts w:ascii="Times New Roman;Times;Serif" w:hAnsi="Times New Roman;Times;Serif"/>
          <w:b w:val="false"/>
          <w:i w:val="false"/>
          <w:caps w:val="false"/>
          <w:smallCaps w:val="false"/>
          <w:sz w:val="20"/>
          <w:u w:val="single"/>
        </w:rPr>
        <w:t>Call Option</w:t>
      </w:r>
      <w:r>
        <w:rPr>
          <w:rFonts w:ascii="Times New Roman;Times;Serif" w:hAnsi="Times New Roman;Times;Serif"/>
          <w:b w:val="false"/>
          <w:i w:val="false"/>
          <w:caps w:val="false"/>
          <w:smallCaps w:val="false"/>
          <w:sz w:val="20"/>
        </w:rPr>
        <w:t>”) with said Call Option to expire on December 31, 2027. The Call Option may only be exercised by Buyer so long as SEGG remains listed on Nasdaq’s Global Market Exchange and is current with all statutory financial filings at the time Buyer exercises any portion of the Call Option. At the sole discretion of Buyer, the consideration for the Call Option or any portion thereof, may be made in cash or restricted stock units of common shares in SEGG at market value at the time the Buyer exercises its Call Option or any portion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Opportunity to Review and Consultation with Legal Counsel</w:t>
      </w:r>
      <w:r>
        <w:rPr>
          <w:rFonts w:ascii="Times New Roman;Times;Serif" w:hAnsi="Times New Roman;Times;Serif"/>
          <w:b w:val="false"/>
          <w:i w:val="false"/>
          <w:caps w:val="false"/>
          <w:smallCaps w:val="false"/>
          <w:sz w:val="20"/>
        </w:rPr>
        <w:t>. The Parties acknowledge and agree that they have had a full and fair opportunity to review, comment, and make compromise revisions to this Agreement. Each Party acknowledges that it has had a full and complete opportunity to consult with legal counsel or other advisers of its own choosing concerning the terms, enforceability, and implications of this Agreement, and that no Party has made any representations or warranties to any other Party concerning the terms, enforceability, and implications of this Agreement other than as are reflected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Succession; Assignment</w:t>
      </w:r>
      <w:r>
        <w:rPr>
          <w:rFonts w:ascii="Times New Roman;Times;Serif" w:hAnsi="Times New Roman;Times;Serif"/>
          <w:b w:val="false"/>
          <w:i w:val="false"/>
          <w:caps w:val="false"/>
          <w:smallCaps w:val="false"/>
          <w:sz w:val="20"/>
        </w:rPr>
        <w:t>. This Agreement and any other agreement or documentation necessary to give effect to the transactions contemplated hereby will bind and inure to the benefit of the heirs, administrators, executors, successors, and assigns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Parties agree that, if any term or condition of this Agreement is found to be illegal or invalid for any reason whatsoever, such illegality or invalidity will not affect the validity of the balance of this Agreement, and the Parties will substitute for the affected term or condition an enforceable provision that approximates as nearly as possible the intent and economic benefit of the affected term or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Parties acknowledge and agree that this Agreement and the documents that are to be executed pursuant to this Agreement contain the entire agreement between or among the Parties, as the case may be, regarding the subject matter hereof and supersede and replace any and all prior oral and written agreements, arrangements, or understandings between or among the Parties, as the case may be, relating to the subject matter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xml:space="preserve">. The Parties agree that this Agreement will be governed by, construed, and enforced in accordance with, and subject to, the laws of the </w:t>
      </w:r>
      <w:r>
        <w:rPr>
          <w:rFonts w:ascii="Times New Roman;Times;Serif" w:hAnsi="Times New Roman;Times;Serif"/>
          <w:b/>
          <w:i w:val="false"/>
          <w:caps w:val="false"/>
          <w:smallCaps w:val="false"/>
          <w:sz w:val="20"/>
        </w:rPr>
        <w:t>State of Delaware</w:t>
      </w:r>
      <w:r>
        <w:rPr>
          <w:rFonts w:ascii="Times New Roman;Times;Serif" w:hAnsi="Times New Roman;Times;Serif"/>
          <w:b w:val="false"/>
          <w:i w:val="false"/>
          <w:caps w:val="false"/>
          <w:smallCaps w:val="false"/>
          <w:sz w:val="20"/>
        </w:rPr>
        <w:t>, except with respect to the choice of law provisions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Jurisdiction; Venue</w:t>
      </w:r>
      <w:r>
        <w:rPr>
          <w:rFonts w:ascii="Times New Roman;Times;Serif" w:hAnsi="Times New Roman;Times;Serif"/>
          <w:b w:val="false"/>
          <w:i w:val="false"/>
          <w:caps w:val="false"/>
          <w:smallCaps w:val="false"/>
          <w:sz w:val="20"/>
        </w:rPr>
        <w:t xml:space="preserve">. Each Party hereby submits to the jurisdiction and venue of the state and federal courts located in the </w:t>
      </w:r>
      <w:r>
        <w:rPr>
          <w:rFonts w:ascii="Times New Roman;Times;Serif" w:hAnsi="Times New Roman;Times;Serif"/>
          <w:b/>
          <w:i w:val="false"/>
          <w:caps w:val="false"/>
          <w:smallCaps w:val="false"/>
          <w:sz w:val="20"/>
        </w:rPr>
        <w:t xml:space="preserve">State of Delaware </w:t>
      </w:r>
      <w:r>
        <w:rPr>
          <w:rFonts w:ascii="Times New Roman;Times;Serif" w:hAnsi="Times New Roman;Times;Serif"/>
          <w:b w:val="false"/>
          <w:i w:val="false"/>
          <w:caps w:val="false"/>
          <w:smallCaps w:val="false"/>
          <w:sz w:val="20"/>
        </w:rPr>
        <w:t>for purposes of any arbitration or litigation related to this Agreement.</w:t>
      </w:r>
    </w:p>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6 of 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i w:val="false"/>
          <w:smallCaps/>
          <w:sz w:val="20"/>
        </w:rPr>
        <w:t>sset</w:t>
      </w:r>
      <w:r>
        <w:rPr>
          <w:rFonts w:ascii="Times New Roman;Times;Serif" w:hAnsi="Times New Roman;Times;Serif"/>
          <w:b/>
          <w:i w:val="false"/>
          <w:caps w:val="false"/>
          <w:smallCaps w:val="false"/>
          <w:sz w:val="20"/>
        </w:rPr>
        <w:t xml:space="preserve"> P</w:t>
      </w:r>
      <w:r>
        <w:rPr>
          <w:rFonts w:ascii="Times New Roman;Times;Serif" w:hAnsi="Times New Roman;Times;Serif"/>
          <w:b/>
          <w:i w:val="false"/>
          <w:smallCaps/>
          <w:sz w:val="20"/>
        </w:rPr>
        <w:t>urchase</w:t>
      </w:r>
      <w:r>
        <w:rPr>
          <w:rFonts w:ascii="Times New Roman;Times;Serif" w:hAnsi="Times New Roman;Times;Serif"/>
          <w:b/>
          <w:i w:val="false"/>
          <w:caps w:val="false"/>
          <w:smallCaps w:val="false"/>
          <w:sz w:val="20"/>
        </w:rPr>
        <w:t xml:space="preserve"> A</w:t>
      </w:r>
      <w:r>
        <w:rPr>
          <w:rFonts w:ascii="Times New Roman;Times;Serif" w:hAnsi="Times New Roman;Times;Serif"/>
          <w:b/>
          <w:i w:val="false"/>
          <w:smallCaps/>
          <w:sz w:val="20"/>
        </w:rPr>
        <w:t>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No Fiduciary Duty; No Joint Venture</w:t>
      </w:r>
      <w:r>
        <w:rPr>
          <w:rFonts w:ascii="Times New Roman;Times;Serif" w:hAnsi="Times New Roman;Times;Serif"/>
          <w:b w:val="false"/>
          <w:i w:val="false"/>
          <w:caps w:val="false"/>
          <w:smallCaps w:val="false"/>
          <w:sz w:val="20"/>
        </w:rPr>
        <w:t>. Nothing contained in this Agreement is intended to create any fiduciary duty of one Party to another Party, any joint venture between the Parties, or any partnership or other type of business entity involving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the event of any breach or threatened breach of any term of this Agreement, a Party seeking relief will be entitled to seek specific performance, injunctive, and other equitable relief, which will be in addition to, and not in lieu of, money damages or any other legal remedy available to the Party seeking relief.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Amendments; Changes; Modifications</w:t>
      </w:r>
      <w:r>
        <w:rPr>
          <w:rFonts w:ascii="Times New Roman;Times;Serif" w:hAnsi="Times New Roman;Times;Serif"/>
          <w:b w:val="false"/>
          <w:i w:val="false"/>
          <w:caps w:val="false"/>
          <w:smallCaps w:val="false"/>
          <w:sz w:val="20"/>
        </w:rPr>
        <w:t>. No amendment, change, or modification to this Agreement will be valid unless set forth in writing and signed by a duly authorized representative of each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Waivers</w:t>
      </w:r>
      <w:r>
        <w:rPr>
          <w:rFonts w:ascii="Times New Roman;Times;Serif" w:hAnsi="Times New Roman;Times;Serif"/>
          <w:b w:val="false"/>
          <w:i w:val="false"/>
          <w:caps w:val="false"/>
          <w:smallCaps w:val="false"/>
          <w:sz w:val="20"/>
        </w:rPr>
        <w:t>. No delay or omission by any Party hereto in exercising any right, power, or privilege under this Agreement will impair such right, power, or privilege, nor will any single or partial exercise of any such right, power, or privilege preclude any further exercise thereof or the exercise of any other right, power, or privilege.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All headings in this Agreement are provided for convenience and reference only, are not integral or substantive provisions of this Agreement, and will not affect any interpretation of the substantive provisions to which they relate.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The Parties agree that this Agreement may be executed simultaneously in two or more counterparts, each of which will be deemed an original and all of which together will constitute but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 </w:t>
      </w:r>
      <w:r>
        <w:rPr>
          <w:rFonts w:ascii="Times New Roman;Times;Serif" w:hAnsi="Times New Roman;Times;Serif"/>
          <w:b w:val="false"/>
          <w:i w:val="false"/>
          <w:caps w:val="false"/>
          <w:smallCaps w:val="false"/>
          <w:sz w:val="20"/>
          <w:u w:val="single"/>
        </w:rPr>
        <w:t>Electronic Signatures</w:t>
      </w:r>
      <w:r>
        <w:rPr>
          <w:rFonts w:ascii="Times New Roman;Times;Serif" w:hAnsi="Times New Roman;Times;Serif"/>
          <w:b w:val="false"/>
          <w:i w:val="false"/>
          <w:caps w:val="false"/>
          <w:smallCaps w:val="false"/>
          <w:sz w:val="20"/>
        </w:rPr>
        <w:t>. This Agreement may be executed by original, facsimile, and electronic signatures, each of which when affixed will be deemed to be an original that is enforceable against the executing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NON-REPRESENTATION NOTICE</w:t>
      </w:r>
      <w:r>
        <w:rPr>
          <w:rFonts w:ascii="Times New Roman;Times;Serif" w:hAnsi="Times New Roman;Times;Serif"/>
          <w:b w:val="false"/>
          <w:i w:val="false"/>
          <w:caps w:val="false"/>
          <w:smallCaps w:val="false"/>
          <w:sz w:val="20"/>
        </w:rPr>
        <w:t>. SELLER ACKNOWLEDGES THAT THE UNDERSIGNED SIGNATORY IS AN ATTORNEY WHO IS ACTING IN A NON-LEGAL CAPACITY WITH RESPECT TO THIS AGREEMENT AND THE TRANSACTIONS CONTEMPLATED HEREIN AND DOES NOT REPRESENT ANY PARTY HERETO OR THIRD PARTY REFERENCED HEREIN. SUCH ATTORNEY WILL NOT BE DEEMED TO REPRESENT ANY PARTY HERETO IN THE ABSENCE OF A SEPARATE WRITTEN AGREEMENT SETTING FORTH THE EXISTENCE AND SCOPE OF ANY LEGAL ENGAGEMENT OR ATTORNEY-CLIENT RELATIONSHIP. THIS LETTER MAY NOT BE RELIED UPON BY ANY PARTY AS LEGAL ADVICE.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7 of 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i w:val="false"/>
          <w:smallCaps/>
          <w:sz w:val="20"/>
        </w:rPr>
        <w:t>sset</w:t>
      </w:r>
      <w:r>
        <w:rPr>
          <w:rFonts w:ascii="Times New Roman;Times;Serif" w:hAnsi="Times New Roman;Times;Serif"/>
          <w:b/>
          <w:i w:val="false"/>
          <w:caps w:val="false"/>
          <w:smallCaps w:val="false"/>
          <w:sz w:val="20"/>
        </w:rPr>
        <w:t xml:space="preserve"> P</w:t>
      </w:r>
      <w:r>
        <w:rPr>
          <w:rFonts w:ascii="Times New Roman;Times;Serif" w:hAnsi="Times New Roman;Times;Serif"/>
          <w:b/>
          <w:i w:val="false"/>
          <w:smallCaps/>
          <w:sz w:val="20"/>
        </w:rPr>
        <w:t>urchase</w:t>
      </w:r>
      <w:r>
        <w:rPr>
          <w:rFonts w:ascii="Times New Roman;Times;Serif" w:hAnsi="Times New Roman;Times;Serif"/>
          <w:b/>
          <w:i w:val="false"/>
          <w:caps w:val="false"/>
          <w:smallCaps w:val="false"/>
          <w:sz w:val="20"/>
        </w:rPr>
        <w:t xml:space="preserve"> A</w:t>
      </w:r>
      <w:r>
        <w:rPr>
          <w:rFonts w:ascii="Times New Roman;Times;Serif" w:hAnsi="Times New Roman;Times;Serif"/>
          <w:b/>
          <w:i w:val="false"/>
          <w:smallCaps/>
          <w:sz w:val="20"/>
        </w:rPr>
        <w:t>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Effective Date.</w:t>
      </w:r>
    </w:p>
    <w:p>
      <w:pPr>
        <w:pStyle w:val="TextBody"/>
        <w:bidi w:val="0"/>
        <w:spacing w:before="0" w:after="0"/>
        <w:ind w:left="0" w:right="0" w:hanging="0"/>
        <w:jc w:val="both"/>
        <w:rPr>
          <w:caps w:val="false"/>
          <w:smallCaps w:val="false"/>
        </w:rPr>
      </w:pPr>
      <w:r>
        <w:rPr>
          <w:caps w:val="false"/>
          <w:smallCaps w:val="false"/>
        </w:rPr>
        <w:t> </w:t>
      </w:r>
    </w:p>
    <w:tbl>
      <w:tblPr>
        <w:tblW w:w="5924" w:type="dxa"/>
        <w:jc w:val="left"/>
        <w:tblInd w:w="0" w:type="dxa"/>
        <w:tblLayout w:type="fixed"/>
        <w:tblCellMar>
          <w:top w:w="0" w:type="dxa"/>
          <w:left w:w="0" w:type="dxa"/>
          <w:bottom w:w="0" w:type="dxa"/>
          <w:right w:w="0" w:type="dxa"/>
        </w:tblCellMar>
      </w:tblPr>
      <w:tblGrid>
        <w:gridCol w:w="605"/>
        <w:gridCol w:w="1835"/>
        <w:gridCol w:w="60"/>
        <w:gridCol w:w="818"/>
        <w:gridCol w:w="2606"/>
      </w:tblGrid>
      <w:tr>
        <w:trPr/>
        <w:tc>
          <w:tcPr>
            <w:tcW w:w="2440" w:type="dxa"/>
            <w:gridSpan w:val="2"/>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BUYER”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24" w:type="dxa"/>
            <w:gridSpan w:val="2"/>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w:t>
            </w:r>
          </w:p>
        </w:tc>
      </w:tr>
      <w:tr>
        <w:trPr/>
        <w:tc>
          <w:tcPr>
            <w:tcW w:w="2440"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24"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244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LOTTERY.COM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2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GALAXY RACER HOLDINGS LIMITED.</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8" w:type="dxa"/>
            <w:tcBorders/>
            <w:vAlign w:val="center"/>
          </w:tcPr>
          <w:p>
            <w:pPr>
              <w:pStyle w:val="TableContents"/>
              <w:bidi w:val="0"/>
              <w:spacing w:before="0" w:after="283"/>
              <w:jc w:val="left"/>
              <w:rPr>
                <w:caps w:val="false"/>
                <w:smallCaps w:val="false"/>
              </w:rPr>
            </w:pPr>
            <w:r>
              <w:rPr>
                <w:caps w:val="false"/>
                <w:smallCaps w:val="false"/>
              </w:rPr>
              <w:t> </w:t>
            </w:r>
          </w:p>
        </w:tc>
        <w:tc>
          <w:tcPr>
            <w:tcW w:w="260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8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Matthew McGahan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606"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Paul P. R. Phanbuh</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McGahan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6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P. R. Phanbuh</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and President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8 of 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CONVEYED ASSETS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Assets to be conveyed by </w:t>
      </w:r>
      <w:r>
        <w:rPr>
          <w:rFonts w:ascii="Times New Roman;Times;Serif" w:hAnsi="Times New Roman;Times;Serif"/>
          <w:b/>
          <w:i w:val="false"/>
          <w:caps w:val="false"/>
          <w:smallCaps w:val="false"/>
          <w:sz w:val="20"/>
        </w:rPr>
        <w:t>Galaxy Racer Holdings Limited</w:t>
      </w:r>
      <w:r>
        <w:rPr>
          <w:rFonts w:ascii="Times New Roman;Times;Serif" w:hAnsi="Times New Roman;Times;Serif"/>
          <w:b w:val="false"/>
          <w:i w:val="false"/>
          <w:caps w:val="false"/>
          <w:smallCaps w:val="false"/>
          <w:sz w:val="20"/>
        </w:rPr>
        <w:t xml:space="preserve">, a BVI entity, to </w:t>
      </w:r>
      <w:r>
        <w:rPr>
          <w:rFonts w:ascii="Times New Roman;Times;Serif" w:hAnsi="Times New Roman;Times;Serif"/>
          <w:b/>
          <w:i w:val="false"/>
          <w:caps w:val="false"/>
          <w:smallCaps w:val="false"/>
          <w:sz w:val="20"/>
        </w:rPr>
        <w:t>Lottery.com Inc.</w:t>
      </w:r>
      <w:r>
        <w:rPr>
          <w:rFonts w:ascii="Times New Roman;Times;Serif" w:hAnsi="Times New Roman;Times;Serif"/>
          <w:b w:val="false"/>
          <w:i w:val="false"/>
          <w:caps w:val="false"/>
          <w:smallCaps w:val="false"/>
          <w:sz w:val="20"/>
        </w:rPr>
        <w:t xml:space="preserve">, a Delaware corporation, or its designee pursuant to the accompanying Asset Purchase Agreement, dated </w:t>
      </w:r>
      <w:r>
        <w:rPr>
          <w:rFonts w:ascii="Times New Roman;Times;Serif" w:hAnsi="Times New Roman;Times;Serif"/>
          <w:b/>
          <w:i w:val="false"/>
          <w:caps w:val="false"/>
          <w:smallCaps w:val="false"/>
          <w:sz w:val="20"/>
        </w:rPr>
        <w:t>July 30, 2025</w:t>
      </w:r>
      <w:r>
        <w:rPr>
          <w:rFonts w:ascii="Times New Roman;Times;Serif" w:hAnsi="Times New Roman;Times;Serif"/>
          <w:b w:val="false"/>
          <w:i w:val="false"/>
          <w:caps w:val="false"/>
          <w:smallCaps w:val="false"/>
          <w:sz w:val="20"/>
        </w:rPr>
        <w:t>, include the following: exclusive ownership and rights to the GXR Platform and App, the GXR tech stack, all users (approximately 1.1 million monthly active users) and licenses as identified and further described 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1A (App Flow);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1B (Spector Integration);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1C (Social Module and Open Specifications);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1D (Techs Stack Summary).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SHORTFALL EARNOUT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2027, NewCo’s Valuation must equal $30,000,000 USD based on the mutually agreed valuation formula applied to the Call Option. In the event that NewCo’s Valuation is less than $30,000,000 USD on June 30, 2027, a Reverse Earnout shall be triggered against Seller in accordance with Section 2(a)(v) of this Agreement.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GXR App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GXR App is a comprehensive, multi-feature mobile platform designed to be the “Home of Football.” It seamlessly blends social engagement, live football streaming, real-money gaming (RMG), and dynamic missions &amp; achievements into one immersive, gamified experience. With social interaction as the primary entry point, GXR creates a community-centered approach that puts fans at the center of the football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Onboarding &amp; Login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Splash Screen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Give a brief welcome, display the app logo/branding (“GXR”).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Layout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75"/>
        <w:gridCol w:w="170"/>
        <w:gridCol w:w="62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 App logo (e.g., “GXR”).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Bottom: Brief loading indicator or tagline (“Connect, Stream, Play &amp; Win”).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Navigation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75"/>
        <w:gridCol w:w="170"/>
        <w:gridCol w:w="36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1–2 seconds, transitions automatically:</w:t>
            </w:r>
          </w:p>
        </w:tc>
      </w:tr>
    </w:tbl>
    <w:p>
      <w:pPr>
        <w:pStyle w:val="TextBody"/>
        <w:bidi w:val="0"/>
        <w:spacing w:before="0" w:after="0"/>
        <w:ind w:left="0" w:right="0" w:hanging="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first-time user → Onboarding Slides.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returning user → Login (or Social Feed if the user’s session is still valid).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Onboarding Slides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Introduce the app’s social-first approach and core features (community, live streaming, RMG, daily trivia, missions, etc.) in 3-4 swipes.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Layout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Full-Screen Image/Illustration per feature highlight.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Headline Text (e.g., “Connect with Football Fans,” “Catch Live Matches,” “Win Real Prizes,” “Complete Missions for Rewards”).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Description (1–2 lines max).</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Pagination dots at the bottom indicating the current slide.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Skip / Next button in the bottom-right corner.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Navigation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170"/>
        <w:gridCol w:w="347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Skip → directly to Login/Signup.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 → moves through slides.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slide → transitions to Login/Signup.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Login / Signup Screen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Let returning users log in and new users create an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Layout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75"/>
        <w:gridCol w:w="170"/>
        <w:gridCol w:w="34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Tabs or Buttons: Login (default) | Signup.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Login Form (if Login tab is active):</w:t>
            </w:r>
          </w:p>
        </w:tc>
      </w:tr>
    </w:tbl>
    <w:p>
      <w:pPr>
        <w:pStyle w:val="TextBody"/>
        <w:bidi w:val="0"/>
        <w:spacing w:before="0" w:after="0"/>
        <w:ind w:left="0" w:right="0" w:hanging="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75"/>
        <w:gridCol w:w="170"/>
        <w:gridCol w:w="18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Email/Phone input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Password or OTP input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Forgot Password? link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Login button</w:t>
            </w:r>
          </w:p>
        </w:tc>
      </w:tr>
    </w:tbl>
    <w:p>
      <w:pPr>
        <w:pStyle w:val="TextBody"/>
        <w:bidi w:val="0"/>
        <w:spacing w:before="0" w:after="0"/>
        <w:ind w:left="0" w:right="0" w:hanging="0"/>
        <w:jc w:val="both"/>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75"/>
        <w:gridCol w:w="170"/>
        <w:gridCol w:w="30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Signup Form (if Signup tab is active):</w:t>
            </w:r>
          </w:p>
        </w:tc>
      </w:tr>
    </w:tbl>
    <w:p>
      <w:pPr>
        <w:pStyle w:val="TextBody"/>
        <w:bidi w:val="0"/>
        <w:spacing w:before="0" w:after="0"/>
        <w:ind w:left="0" w:right="0" w:hanging="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75"/>
        <w:gridCol w:w="170"/>
        <w:gridCol w:w="14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field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Email/Phone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Password or OTP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Up button</w:t>
            </w:r>
          </w:p>
        </w:tc>
      </w:tr>
    </w:tbl>
    <w:p>
      <w:pPr>
        <w:pStyle w:val="TextBody"/>
        <w:bidi w:val="0"/>
        <w:spacing w:before="0" w:after="0"/>
        <w:ind w:left="0" w:right="0" w:hanging="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Login: Buttons for Google, Facebook, or Apple login.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Integration with Specter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75"/>
        <w:gridCol w:w="170"/>
        <w:gridCol w:w="49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authentication flows through Specter to social backend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or similar token validation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SSO implementation between backends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user data across both systems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Unified logout flow across systems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Navigation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170"/>
        <w:gridCol w:w="45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successful login or signup → Social Feed (Tab 1).</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Forgot Password? → Forgot Password Flow.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Social Feed (Tab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Primary Focus</w:t>
      </w:r>
      <w:r>
        <w:rPr>
          <w:rFonts w:ascii="Times New Roman;Times;Serif" w:hAnsi="Times New Roman;Times;Serif"/>
          <w:b w:val="false"/>
          <w:i w:val="false"/>
          <w:caps w:val="false"/>
          <w:smallCaps w:val="false"/>
          <w:sz w:val="20"/>
        </w:rPr>
        <w:t>: The central social hub of the app featuring stories, social posts, live matches, and trending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Top Navigation Bar</w:t>
      </w:r>
    </w:p>
    <w:p>
      <w:pPr>
        <w:pStyle w:val="TextBody"/>
        <w:bidi w:val="0"/>
        <w:spacing w:before="0" w:after="0"/>
        <w:ind w:left="0" w:right="0" w:hanging="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170"/>
        <w:gridCol w:w="16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Left: GXR App logo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w:t>
            </w:r>
          </w:p>
        </w:tc>
      </w:tr>
    </w:tbl>
    <w:p>
      <w:pPr>
        <w:pStyle w:val="TextBody"/>
        <w:bidi w:val="0"/>
        <w:spacing w:before="0" w:after="0"/>
        <w:ind w:left="0" w:right="0" w:hanging="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75"/>
        <w:gridCol w:w="170"/>
        <w:gridCol w:w="32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Wallet Icon + Balance (e.g., “₹14000”)</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3670" w:type="dxa"/>
        <w:jc w:val="left"/>
        <w:tblInd w:w="0" w:type="dxa"/>
        <w:tblLayout w:type="fixed"/>
        <w:tblCellMar>
          <w:top w:w="0" w:type="dxa"/>
          <w:left w:w="0" w:type="dxa"/>
          <w:bottom w:w="0" w:type="dxa"/>
          <w:right w:w="0" w:type="dxa"/>
        </w:tblCellMar>
      </w:tblPr>
      <w:tblGrid>
        <w:gridCol w:w="75"/>
        <w:gridCol w:w="170"/>
        <w:gridCol w:w="34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GXR Points/Stars Indicator (e.g., “0/100”)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Notifications Bell icon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Content Filter Tabs</w:t>
      </w:r>
    </w:p>
    <w:p>
      <w:pPr>
        <w:pStyle w:val="TextBody"/>
        <w:bidi w:val="0"/>
        <w:spacing w:before="0" w:after="0"/>
        <w:ind w:left="0" w:right="0" w:hanging="0"/>
        <w:jc w:val="both"/>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170"/>
        <w:gridCol w:w="64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You (default): Personalized content based on user preferences and behavior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Content exclusively from accounts the user follows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Trending: Popular content across the platform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Stories/Profiles Carousel</w:t>
      </w:r>
    </w:p>
    <w:p>
      <w:pPr>
        <w:pStyle w:val="TextBody"/>
        <w:bidi w:val="0"/>
        <w:spacing w:before="0" w:after="0"/>
        <w:ind w:left="0" w:right="0" w:hanging="0"/>
        <w:jc w:val="both"/>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70"/>
        <w:gridCol w:w="40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Horizontal scrolling row of circular profile icons:</w:t>
            </w:r>
          </w:p>
        </w:tc>
      </w:tr>
    </w:tbl>
    <w:p>
      <w:pPr>
        <w:pStyle w:val="TextBody"/>
        <w:bidi w:val="0"/>
        <w:spacing w:before="0" w:after="0"/>
        <w:ind w:left="0" w:right="0" w:hanging="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70"/>
        <w:gridCol w:w="55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Story (add button to create new story)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Featured profiles (e.g., players, teams, influencers) with Elite badges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 indicator on profiles currently streaming</w:t>
            </w:r>
          </w:p>
        </w:tc>
      </w:tr>
    </w:tbl>
    <w:p>
      <w:pPr>
        <w:pStyle w:val="TextBody"/>
        <w:bidi w:val="0"/>
        <w:spacing w:before="0" w:after="0"/>
        <w:ind w:left="0" w:right="0" w:hanging="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75"/>
        <w:gridCol w:w="170"/>
        <w:gridCol w:w="16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Story creation flow:</w:t>
            </w:r>
          </w:p>
        </w:tc>
      </w:tr>
    </w:tbl>
    <w:p>
      <w:pPr>
        <w:pStyle w:val="TextBody"/>
        <w:bidi w:val="0"/>
        <w:spacing w:before="0" w:after="0"/>
        <w:ind w:left="0" w:right="0" w:hanging="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170"/>
        <w:gridCol w:w="41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Tapping “Your Story” → Camera/upload interface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selection → Add text/effects → Post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to share to specific hubs or communities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Live Matches Section</w:t>
      </w:r>
    </w:p>
    <w:p>
      <w:pPr>
        <w:pStyle w:val="TextBody"/>
        <w:bidi w:val="0"/>
        <w:spacing w:before="0" w:after="0"/>
        <w:ind w:left="0" w:right="0" w:hanging="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header with “Live Matches” title and “See All” link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Cards showing current live matches:</w:t>
            </w:r>
          </w:p>
        </w:tc>
      </w:tr>
    </w:tbl>
    <w:p>
      <w:pPr>
        <w:pStyle w:val="TextBody"/>
        <w:bidi w:val="0"/>
        <w:spacing w:before="0" w:after="0"/>
        <w:ind w:left="0" w:right="0" w:hanging="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75"/>
        <w:gridCol w:w="170"/>
        <w:gridCol w:w="36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League information and match time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Team logos and current score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 indicator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9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Watch Now” button to enter streaming view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Social Post Feed</w:t>
      </w:r>
    </w:p>
    <w:p>
      <w:pPr>
        <w:pStyle w:val="TextBody"/>
        <w:bidi w:val="0"/>
        <w:spacing w:before="0" w:after="0"/>
        <w:ind w:left="0" w:right="0" w:hanging="0"/>
        <w:jc w:val="both"/>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170"/>
        <w:gridCol w:w="53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Scrollable feed of posts from players, teams, hubs, and other users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 components:</w:t>
            </w:r>
          </w:p>
        </w:tc>
      </w:tr>
    </w:tbl>
    <w:p>
      <w:pPr>
        <w:pStyle w:val="TextBody"/>
        <w:bidi w:val="0"/>
        <w:spacing w:before="0" w:after="0"/>
        <w:ind w:left="0" w:right="0" w:hanging="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 profile picture, name, and post time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 content (text, images, videos)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Engagement options (like, comment, share)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Interaction counts (likes, comments, shares)</w:t>
            </w:r>
          </w:p>
        </w:tc>
      </w:tr>
    </w:tbl>
    <w:p>
      <w:pPr>
        <w:pStyle w:val="TextBody"/>
        <w:bidi w:val="0"/>
        <w:spacing w:before="0" w:after="0"/>
        <w:ind w:left="0" w:right="0" w:hanging="0"/>
        <w:jc w:val="both"/>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75"/>
        <w:gridCol w:w="170"/>
        <w:gridCol w:w="9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 types:</w:t>
            </w:r>
          </w:p>
        </w:tc>
      </w:tr>
    </w:tbl>
    <w:p>
      <w:pPr>
        <w:pStyle w:val="TextBody"/>
        <w:bidi w:val="0"/>
        <w:spacing w:before="0" w:after="0"/>
        <w:ind w:left="0" w:right="0" w:hanging="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170"/>
        <w:gridCol w:w="23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posts (text, images)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 posts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Match highlights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Community announcements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Poll/Survey posts</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75"/>
        <w:gridCol w:w="170"/>
        <w:gridCol w:w="9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Flows:</w:t>
            </w:r>
          </w:p>
        </w:tc>
      </w:tr>
    </w:tbl>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75"/>
        <w:gridCol w:w="170"/>
        <w:gridCol w:w="73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 creation: User taps “New Post” → Media selection → Add text → Post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Engagement: User taps like → Update like count → Store in user activity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 User adds comment → Comment stored → Notification sent to post owner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User taps share → Sharing options appear → Content shared to selected destination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Navigation</w:t>
      </w:r>
    </w:p>
    <w:p>
      <w:pPr>
        <w:pStyle w:val="TextBody"/>
        <w:bidi w:val="0"/>
        <w:spacing w:before="0" w:after="0"/>
        <w:ind w:left="0" w:right="0" w:hanging="0"/>
        <w:jc w:val="both"/>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75"/>
        <w:gridCol w:w="170"/>
        <w:gridCol w:w="56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Bottom Navigation Bar: Feed (active), Discover, Scores, Play, Profile.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Discover (Tab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Primary Focus</w:t>
      </w:r>
      <w:r>
        <w:rPr>
          <w:rFonts w:ascii="Times New Roman;Times;Serif" w:hAnsi="Times New Roman;Times;Serif"/>
          <w:b w:val="false"/>
          <w:i w:val="false"/>
          <w:caps w:val="false"/>
          <w:smallCaps w:val="false"/>
          <w:sz w:val="20"/>
        </w:rPr>
        <w:t>: Content and community discovery, featuring recommendations, hubs, and trending topics.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Top Banner</w:t>
      </w:r>
    </w:p>
    <w:p>
      <w:pPr>
        <w:pStyle w:val="TextBody"/>
        <w:bidi w:val="0"/>
        <w:spacing w:before="0" w:after="0"/>
        <w:ind w:left="0" w:right="0" w:hanging="0"/>
        <w:jc w:val="both"/>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75"/>
        <w:gridCol w:w="170"/>
        <w:gridCol w:w="32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Featured content carousel highlighting:</w:t>
            </w:r>
          </w:p>
        </w:tc>
      </w:tr>
    </w:tbl>
    <w:p>
      <w:pPr>
        <w:pStyle w:val="TextBody"/>
        <w:bidi w:val="0"/>
        <w:spacing w:before="0" w:after="0"/>
        <w:ind w:left="0" w:right="0" w:hanging="0"/>
        <w:jc w:val="righ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75"/>
        <w:gridCol w:w="170"/>
        <w:gridCol w:w="249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Fan Community Leaderboards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events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Tournaments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 content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 Quick Access Icons</w:t>
      </w:r>
    </w:p>
    <w:p>
      <w:pPr>
        <w:pStyle w:val="TextBody"/>
        <w:bidi w:val="0"/>
        <w:spacing w:before="0" w:after="0"/>
        <w:ind w:left="0" w:right="0" w:hanging="0"/>
        <w:jc w:val="both"/>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75"/>
        <w:gridCol w:w="170"/>
        <w:gridCol w:w="2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Horizontal row of feature icons:</w:t>
            </w:r>
          </w:p>
        </w:tc>
      </w:tr>
    </w:tbl>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75"/>
        <w:gridCol w:w="170"/>
        <w:gridCol w:w="35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 Access to interest-based communities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Shop: Merchandise and premium features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Flicks: Short-form video content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Trivia: Quiz games and challenges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Spin: Gamified rewards feature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 Feature Cards</w:t>
      </w:r>
    </w:p>
    <w:p>
      <w:pPr>
        <w:pStyle w:val="TextBody"/>
        <w:bidi w:val="0"/>
        <w:spacing w:before="0" w:after="0"/>
        <w:ind w:left="0" w:right="0" w:hanging="0"/>
        <w:jc w:val="both"/>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75"/>
        <w:gridCol w:w="170"/>
        <w:gridCol w:w="38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Medium-sized cards highlighting key features:</w:t>
            </w:r>
          </w:p>
        </w:tc>
      </w:tr>
    </w:tbl>
    <w:p>
      <w:pPr>
        <w:pStyle w:val="TextBody"/>
        <w:bidi w:val="0"/>
        <w:spacing w:before="0" w:after="0"/>
        <w:ind w:left="0" w:right="0" w:hanging="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75"/>
        <w:gridCol w:w="170"/>
        <w:gridCol w:w="41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Player Analysis: Global rankings and statistics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Daily Rewards: Claimable bonuses and incentives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Trending Hubs: Popular community spaces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 Subscription: Exclusive benefits</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 Live &amp; Upcoming Section</w:t>
      </w:r>
    </w:p>
    <w:p>
      <w:pPr>
        <w:pStyle w:val="TextBody"/>
        <w:bidi w:val="0"/>
        <w:spacing w:before="0" w:after="0"/>
        <w:ind w:left="0" w:right="0" w:hanging="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Cards showing live and upcoming matches or events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can tap to watch live or set reminders for upcoming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 Hub Discovery</w:t>
      </w:r>
    </w:p>
    <w:p>
      <w:pPr>
        <w:pStyle w:val="TextBody"/>
        <w:bidi w:val="0"/>
        <w:spacing w:before="0" w:after="0"/>
        <w:ind w:left="0" w:right="0" w:hanging="0"/>
        <w:jc w:val="both"/>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75"/>
        <w:gridCol w:w="170"/>
        <w:gridCol w:w="53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Featured and trending hubs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Personalized hub suggestions based on user interests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Browse and search functionality for finding specific communities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joining flow:</w:t>
            </w:r>
          </w:p>
        </w:tc>
      </w:tr>
    </w:tbl>
    <w:p>
      <w:pPr>
        <w:pStyle w:val="TextBody"/>
        <w:bidi w:val="0"/>
        <w:spacing w:before="0" w:after="0"/>
        <w:ind w:left="0" w:right="0" w:hanging="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170"/>
        <w:gridCol w:w="41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discovers hub → Views hub details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Taps “Join” (instant for public, request for private)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Receives welcome notification and introduction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 Navigation</w:t>
      </w:r>
    </w:p>
    <w:p>
      <w:pPr>
        <w:pStyle w:val="TextBody"/>
        <w:bidi w:val="0"/>
        <w:spacing w:before="0" w:after="0"/>
        <w:ind w:left="0" w:right="0" w:hanging="0"/>
        <w:jc w:val="both"/>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75"/>
        <w:gridCol w:w="170"/>
        <w:gridCol w:w="56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Bottom Navigation Bar: Feed, Discover (active), Scores, Play, Profile.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Scores (Tab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Primary Focus</w:t>
      </w:r>
      <w:r>
        <w:rPr>
          <w:rFonts w:ascii="Times New Roman;Times;Serif" w:hAnsi="Times New Roman;Times;Serif"/>
          <w:b w:val="false"/>
          <w:i w:val="false"/>
          <w:caps w:val="false"/>
          <w:smallCaps w:val="false"/>
          <w:sz w:val="20"/>
        </w:rPr>
        <w:t>: Live scores, schedules, fixtures for multiple leagues.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 Header / Filtering</w:t>
      </w:r>
    </w:p>
    <w:p>
      <w:pPr>
        <w:pStyle w:val="TextBody"/>
        <w:bidi w:val="0"/>
        <w:spacing w:before="0" w:after="0"/>
        <w:ind w:left="0" w:right="0" w:hanging="0"/>
        <w:jc w:val="both"/>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170"/>
        <w:gridCol w:w="5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“Scores &amp; Fixtures”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League Filter Dropdown (e.g., “All Leagues,” “La Liga,” “EPL”).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Selector: small horizontal date picker or “Today / Tomorrow / Past.”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 Scores Dashboard</w:t>
      </w:r>
    </w:p>
    <w:p>
      <w:pPr>
        <w:pStyle w:val="TextBody"/>
        <w:bidi w:val="0"/>
        <w:spacing w:before="0" w:after="0"/>
        <w:ind w:left="0" w:right="0" w:hanging="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170"/>
        <w:gridCol w:w="347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matches grouped by date or league.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Match Card:</w:t>
            </w:r>
          </w:p>
        </w:tc>
      </w:tr>
    </w:tbl>
    <w:p>
      <w:pPr>
        <w:pStyle w:val="TextBody"/>
        <w:bidi w:val="0"/>
        <w:spacing w:before="0" w:after="0"/>
        <w:ind w:left="0" w:right="0" w:hanging="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75"/>
        <w:gridCol w:w="170"/>
        <w:gridCol w:w="40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Team A vs Team B with team logos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Score or “Starts at 10:00 PM”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Match Status: LIVE, FT (Full Time), or upcoming.</w:t>
            </w:r>
          </w:p>
        </w:tc>
      </w:tr>
    </w:tbl>
    <w:p>
      <w:pPr>
        <w:pStyle w:val="TextBody"/>
        <w:bidi w:val="0"/>
        <w:spacing w:before="0" w:after="0"/>
        <w:ind w:left="0" w:right="0" w:hanging="0"/>
        <w:jc w:val="both"/>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75"/>
        <w:gridCol w:w="170"/>
        <w:gridCol w:w="30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 a match → Match Detail Screen.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 Match Detail Screen</w:t>
      </w:r>
    </w:p>
    <w:p>
      <w:pPr>
        <w:pStyle w:val="TextBody"/>
        <w:bidi w:val="0"/>
        <w:spacing w:before="0" w:after="0"/>
        <w:ind w:left="0" w:right="0" w:hanging="0"/>
        <w:jc w:val="both"/>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75"/>
        <w:gridCol w:w="170"/>
        <w:gridCol w:w="46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Header: Teams, Score, League Name, Match Time/Status.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Tabs within Match Detail:</w:t>
            </w:r>
          </w:p>
        </w:tc>
      </w:tr>
    </w:tbl>
    <w:p>
      <w:pPr>
        <w:pStyle w:val="TextBody"/>
        <w:bidi w:val="0"/>
        <w:spacing w:before="0" w:after="0"/>
        <w:ind w:left="0" w:right="0" w:hanging="0"/>
        <w:jc w:val="both"/>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75"/>
        <w:gridCol w:w="170"/>
        <w:gridCol w:w="61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Overview: Main stats (possession, shots, timeline).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Lineups: Starting XI, bench, formation.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Fan reactions, trending posts about the match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Match-specific hub for fan discussions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Trivia / RMG: Real-time or pre-match predictions (“Who will score first?”).</w:t>
            </w:r>
          </w:p>
        </w:tc>
      </w:tr>
    </w:tbl>
    <w:p>
      <w:pPr>
        <w:pStyle w:val="TextBody"/>
        <w:bidi w:val="0"/>
        <w:spacing w:before="0" w:after="0"/>
        <w:ind w:left="0" w:right="0" w:hanging="0"/>
        <w:jc w:val="left"/>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9 of 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75"/>
        <w:gridCol w:w="170"/>
        <w:gridCol w:w="55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CTA: “Watch Live” → takes user to Live Stream if the match is live.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Integration:</w:t>
            </w:r>
          </w:p>
        </w:tc>
      </w:tr>
    </w:tbl>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75"/>
        <w:gridCol w:w="170"/>
        <w:gridCol w:w="48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Share” button to post match details to feed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Join Match Hub” to enter match-specific discussion space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Real-time comment thread for match discussion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Navigation</w:t>
      </w:r>
    </w:p>
    <w:p>
      <w:pPr>
        <w:pStyle w:val="TextBody"/>
        <w:bidi w:val="0"/>
        <w:spacing w:before="0" w:after="0"/>
        <w:ind w:left="0" w:right="0" w:hanging="0"/>
        <w:jc w:val="both"/>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75"/>
        <w:gridCol w:w="170"/>
        <w:gridCol w:w="56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Bottom Navigation Bar: Feed, Discover, Scores (active), Play, Profile.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Play &amp; Win (Tab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Primary Focus</w:t>
      </w:r>
      <w:r>
        <w:rPr>
          <w:rFonts w:ascii="Times New Roman;Times;Serif" w:hAnsi="Times New Roman;Times;Serif"/>
          <w:b w:val="false"/>
          <w:i w:val="false"/>
          <w:caps w:val="false"/>
          <w:smallCaps w:val="false"/>
          <w:sz w:val="20"/>
        </w:rPr>
        <w:t>: Real-money gaming (RMG), trivia, contests, leaderboards.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Top Bar</w:t>
      </w:r>
    </w:p>
    <w:p>
      <w:pPr>
        <w:pStyle w:val="TextBody"/>
        <w:bidi w:val="0"/>
        <w:spacing w:before="0" w:after="0"/>
        <w:ind w:left="0" w:right="0" w:hanging="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“Play &amp; Win”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Wallet Balance or small “Wallet” button is also shown here.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Featured Games &amp; Trivia</w:t>
      </w:r>
    </w:p>
    <w:p>
      <w:pPr>
        <w:pStyle w:val="TextBody"/>
        <w:bidi w:val="0"/>
        <w:spacing w:before="0" w:after="0"/>
        <w:ind w:left="0" w:right="0" w:hanging="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170"/>
        <w:gridCol w:w="2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Carousel/Grid of game cards:</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170"/>
        <w:gridCol w:w="38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Daily Trivia, Opinion Polls, Predict &amp; Win, etc.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card includes:</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170"/>
        <w:gridCol w:w="33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Game Name (e.g., “Daily Football Quiz”)</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Icon or small image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Entry Fee (if RMG)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CTA: “Play Now” or “Enter”</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170"/>
        <w:gridCol w:w="31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Tapping a card → Game Detail screen.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Tournaments &amp; Leaderboards</w:t>
      </w:r>
    </w:p>
    <w:p>
      <w:pPr>
        <w:pStyle w:val="TextBody"/>
        <w:bidi w:val="0"/>
        <w:spacing w:before="0" w:after="0"/>
        <w:ind w:left="0" w:right="0" w:hanging="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Scrolling list of ongoing/future tournaments:</w:t>
            </w:r>
          </w:p>
        </w:tc>
      </w:tr>
    </w:tbl>
    <w:p>
      <w:pPr>
        <w:pStyle w:val="TextBody"/>
        <w:bidi w:val="0"/>
        <w:spacing w:before="0" w:after="0"/>
        <w:ind w:left="0" w:right="0" w:hanging="0"/>
        <w:jc w:val="both"/>
        <w:rPr>
          <w:caps w:val="false"/>
          <w:smallCaps w:val="false"/>
        </w:rPr>
      </w:pPr>
      <w:r>
        <w:rPr>
          <w:caps w:val="false"/>
          <w:smallCaps w:val="false"/>
        </w:rPr>
        <w:t>  </w:t>
      </w:r>
    </w:p>
    <w:tbl>
      <w:tblPr>
        <w:tblW w:w="4886" w:type="dxa"/>
        <w:jc w:val="left"/>
        <w:tblInd w:w="0" w:type="dxa"/>
        <w:tblLayout w:type="fixed"/>
        <w:tblCellMar>
          <w:top w:w="0" w:type="dxa"/>
          <w:left w:w="0" w:type="dxa"/>
          <w:bottom w:w="0" w:type="dxa"/>
          <w:right w:w="0" w:type="dxa"/>
        </w:tblCellMar>
      </w:tblPr>
      <w:tblGrid>
        <w:gridCol w:w="75"/>
        <w:gridCol w:w="170"/>
        <w:gridCol w:w="4641"/>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Tournament Name (e.g., “Weekend Predictions </w:t>
            </w:r>
            <w:r>
              <w:rPr>
                <w:rFonts w:ascii="Times New Roman;Times;Serif" w:hAnsi="Times New Roman;Times;Serif"/>
                <w:b w:val="false"/>
                <w:i w:val="false"/>
                <w:caps w:val="false"/>
                <w:smallCaps w:val="false"/>
                <w:spacing w:val="-2"/>
                <w:sz w:val="20"/>
              </w:rPr>
              <w:t>Contest”)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Prize Pool &amp; Entry </w:t>
            </w:r>
            <w:r>
              <w:rPr>
                <w:rFonts w:ascii="Times New Roman;Times;Serif" w:hAnsi="Times New Roman;Times;Serif"/>
                <w:b w:val="false"/>
                <w:i w:val="false"/>
                <w:caps w:val="false"/>
                <w:smallCaps w:val="false"/>
                <w:spacing w:val="-5"/>
                <w:sz w:val="20"/>
              </w:rPr>
              <w:t>Fee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Time Left or </w:t>
            </w:r>
            <w:r>
              <w:rPr>
                <w:rFonts w:ascii="Times New Roman;Times;Serif" w:hAnsi="Times New Roman;Times;Serif"/>
                <w:b w:val="false"/>
                <w:i w:val="false"/>
                <w:caps w:val="false"/>
                <w:smallCaps w:val="false"/>
                <w:spacing w:val="-2"/>
                <w:sz w:val="20"/>
              </w:rPr>
              <w:t>countdown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CTA: “Join” or “View </w:t>
            </w:r>
            <w:r>
              <w:rPr>
                <w:rFonts w:ascii="Times New Roman;Times;Serif" w:hAnsi="Times New Roman;Times;Serif"/>
                <w:b w:val="false"/>
                <w:i w:val="false"/>
                <w:caps w:val="false"/>
                <w:smallCaps w:val="false"/>
                <w:spacing w:val="-2"/>
                <w:sz w:val="20"/>
              </w:rPr>
              <w:t>Details”</w:t>
            </w:r>
          </w:p>
        </w:tc>
      </w:tr>
    </w:tbl>
    <w:p>
      <w:pPr>
        <w:pStyle w:val="TextBody"/>
        <w:bidi w:val="0"/>
        <w:spacing w:before="0" w:after="0"/>
        <w:ind w:left="0" w:right="0" w:hanging="0"/>
        <w:jc w:val="left"/>
        <w:rPr>
          <w:caps w:val="false"/>
          <w:smallCaps w:val="false"/>
        </w:rPr>
      </w:pPr>
      <w:r>
        <w:rPr>
          <w:caps w:val="false"/>
          <w:smallCaps w:val="false"/>
        </w:rPr>
        <w:t> </w:t>
      </w:r>
    </w:p>
    <w:tbl>
      <w:tblPr>
        <w:tblW w:w="5143" w:type="dxa"/>
        <w:jc w:val="left"/>
        <w:tblInd w:w="0" w:type="dxa"/>
        <w:tblLayout w:type="fixed"/>
        <w:tblCellMar>
          <w:top w:w="0" w:type="dxa"/>
          <w:left w:w="0" w:type="dxa"/>
          <w:bottom w:w="0" w:type="dxa"/>
          <w:right w:w="0" w:type="dxa"/>
        </w:tblCellMar>
      </w:tblPr>
      <w:tblGrid>
        <w:gridCol w:w="75"/>
        <w:gridCol w:w="170"/>
        <w:gridCol w:w="4898"/>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Leaderboard snippet shows top players, user’s own </w:t>
            </w:r>
            <w:r>
              <w:rPr>
                <w:rFonts w:ascii="Times New Roman;Times;Serif" w:hAnsi="Times New Roman;Times;Serif"/>
                <w:b w:val="false"/>
                <w:i w:val="false"/>
                <w:caps w:val="false"/>
                <w:smallCaps w:val="false"/>
                <w:spacing w:val="-2"/>
                <w:sz w:val="20"/>
              </w:rPr>
              <w:t>rank.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9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View Full Leaderboard” → a dedicated leaderboard </w:t>
            </w:r>
            <w:r>
              <w:rPr>
                <w:rFonts w:ascii="Times New Roman;Times;Serif" w:hAnsi="Times New Roman;Times;Serif"/>
                <w:b w:val="false"/>
                <w:i w:val="false"/>
                <w:caps w:val="false"/>
                <w:smallCaps w:val="false"/>
                <w:spacing w:val="-2"/>
                <w:sz w:val="20"/>
              </w:rPr>
              <w:t>screen.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Social </w:t>
            </w:r>
            <w:r>
              <w:rPr>
                <w:rFonts w:ascii="Times New Roman;Times;Serif" w:hAnsi="Times New Roman;Times;Serif"/>
                <w:b w:val="false"/>
                <w:i w:val="false"/>
                <w:caps w:val="false"/>
                <w:smallCaps w:val="false"/>
                <w:spacing w:val="-2"/>
                <w:sz w:val="20"/>
              </w:rPr>
              <w:t>integration:</w:t>
            </w:r>
          </w:p>
        </w:tc>
      </w:tr>
    </w:tbl>
    <w:p>
      <w:pPr>
        <w:pStyle w:val="TextBody"/>
        <w:bidi w:val="0"/>
        <w:spacing w:before="0" w:after="0"/>
        <w:ind w:left="0" w:right="0" w:hanging="0"/>
        <w:jc w:val="left"/>
        <w:rPr>
          <w:caps w:val="false"/>
          <w:smallCaps w:val="false"/>
        </w:rPr>
      </w:pPr>
      <w:r>
        <w:rPr>
          <w:caps w:val="false"/>
          <w:smallCaps w:val="false"/>
        </w:rPr>
        <w:t> </w:t>
      </w:r>
    </w:p>
    <w:tbl>
      <w:tblPr>
        <w:tblW w:w="4820" w:type="dxa"/>
        <w:jc w:val="left"/>
        <w:tblInd w:w="0" w:type="dxa"/>
        <w:tblLayout w:type="fixed"/>
        <w:tblCellMar>
          <w:top w:w="0" w:type="dxa"/>
          <w:left w:w="0" w:type="dxa"/>
          <w:bottom w:w="0" w:type="dxa"/>
          <w:right w:w="0" w:type="dxa"/>
        </w:tblCellMar>
      </w:tblPr>
      <w:tblGrid>
        <w:gridCol w:w="75"/>
        <w:gridCol w:w="170"/>
        <w:gridCol w:w="45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7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Challenge Friends” option to invite social </w:t>
            </w:r>
            <w:r>
              <w:rPr>
                <w:rFonts w:ascii="Times New Roman;Times;Serif" w:hAnsi="Times New Roman;Times;Serif"/>
                <w:b w:val="false"/>
                <w:i w:val="false"/>
                <w:caps w:val="false"/>
                <w:smallCaps w:val="false"/>
                <w:spacing w:val="-2"/>
                <w:sz w:val="20"/>
              </w:rPr>
              <w:t>connections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7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Share Results” to post outcomes to </w:t>
            </w:r>
            <w:r>
              <w:rPr>
                <w:rFonts w:ascii="Times New Roman;Times;Serif" w:hAnsi="Times New Roman;Times;Serif"/>
                <w:b w:val="false"/>
                <w:i w:val="false"/>
                <w:caps w:val="false"/>
                <w:smallCaps w:val="false"/>
                <w:spacing w:val="-4"/>
                <w:sz w:val="20"/>
              </w:rPr>
              <w:t>feed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Tournament hubs for participants to discuss </w:t>
            </w:r>
            <w:r>
              <w:rPr>
                <w:rFonts w:ascii="Times New Roman;Times;Serif" w:hAnsi="Times New Roman;Times;Serif"/>
                <w:b w:val="false"/>
                <w:i w:val="false"/>
                <w:caps w:val="false"/>
                <w:smallCaps w:val="false"/>
                <w:spacing w:val="-2"/>
                <w:sz w:val="20"/>
              </w:rPr>
              <w:t>strategy</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5.4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Past Results &amp; </w:t>
      </w:r>
      <w:r>
        <w:rPr>
          <w:rFonts w:ascii="Times New Roman;Times;Serif" w:hAnsi="Times New Roman;Times;Serif"/>
          <w:b/>
          <w:i w:val="false"/>
          <w:caps w:val="false"/>
          <w:smallCaps w:val="false"/>
          <w:spacing w:val="-2"/>
          <w:sz w:val="20"/>
        </w:rPr>
        <w:t>Rewards</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4301" w:type="dxa"/>
        <w:jc w:val="left"/>
        <w:tblInd w:w="0" w:type="dxa"/>
        <w:tblLayout w:type="fixed"/>
        <w:tblCellMar>
          <w:top w:w="0" w:type="dxa"/>
          <w:left w:w="0" w:type="dxa"/>
          <w:bottom w:w="0" w:type="dxa"/>
          <w:right w:w="0" w:type="dxa"/>
        </w:tblCellMar>
      </w:tblPr>
      <w:tblGrid>
        <w:gridCol w:w="75"/>
        <w:gridCol w:w="170"/>
        <w:gridCol w:w="405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sub-tab labeled “My History” or “Past </w:t>
            </w:r>
            <w:r>
              <w:rPr>
                <w:rFonts w:ascii="Times New Roman;Times;Serif" w:hAnsi="Times New Roman;Times;Serif"/>
                <w:b w:val="false"/>
                <w:i w:val="false"/>
                <w:caps w:val="false"/>
                <w:smallCaps w:val="false"/>
                <w:spacing w:val="-2"/>
                <w:sz w:val="20"/>
              </w:rPr>
              <w:t>Results.”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History </w:t>
            </w:r>
            <w:r>
              <w:rPr>
                <w:rFonts w:ascii="Times New Roman;Times;Serif" w:hAnsi="Times New Roman;Times;Serif"/>
                <w:b w:val="false"/>
                <w:i w:val="false"/>
                <w:caps w:val="false"/>
                <w:smallCaps w:val="false"/>
                <w:spacing w:val="-2"/>
                <w:sz w:val="20"/>
              </w:rPr>
              <w:t>Screen:</w:t>
            </w:r>
          </w:p>
        </w:tc>
      </w:tr>
    </w:tbl>
    <w:p>
      <w:pPr>
        <w:pStyle w:val="TextBody"/>
        <w:bidi w:val="0"/>
        <w:spacing w:before="0" w:after="0"/>
        <w:ind w:left="0" w:right="0" w:hanging="0"/>
        <w:jc w:val="left"/>
        <w:rPr>
          <w:caps w:val="false"/>
          <w:smallCaps w:val="false"/>
        </w:rPr>
      </w:pPr>
      <w:r>
        <w:rPr>
          <w:caps w:val="false"/>
          <w:smallCaps w:val="false"/>
        </w:rPr>
        <w:t> </w:t>
      </w:r>
    </w:p>
    <w:tbl>
      <w:tblPr>
        <w:tblW w:w="6244" w:type="dxa"/>
        <w:jc w:val="left"/>
        <w:tblInd w:w="0" w:type="dxa"/>
        <w:tblLayout w:type="fixed"/>
        <w:tblCellMar>
          <w:top w:w="0" w:type="dxa"/>
          <w:left w:w="0" w:type="dxa"/>
          <w:bottom w:w="0" w:type="dxa"/>
          <w:right w:w="0" w:type="dxa"/>
        </w:tblCellMar>
      </w:tblPr>
      <w:tblGrid>
        <w:gridCol w:w="75"/>
        <w:gridCol w:w="170"/>
        <w:gridCol w:w="5999"/>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List of completed </w:t>
            </w:r>
            <w:r>
              <w:rPr>
                <w:rFonts w:ascii="Times New Roman;Times;Serif" w:hAnsi="Times New Roman;Times;Serif"/>
                <w:b w:val="false"/>
                <w:i w:val="false"/>
                <w:caps w:val="false"/>
                <w:smallCaps w:val="false"/>
                <w:spacing w:val="-2"/>
                <w:sz w:val="20"/>
              </w:rPr>
              <w:t>games/tournaments: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final rank, </w:t>
            </w:r>
            <w:r>
              <w:rPr>
                <w:rFonts w:ascii="Times New Roman;Times;Serif" w:hAnsi="Times New Roman;Times;Serif"/>
                <w:b w:val="false"/>
                <w:i w:val="false"/>
                <w:caps w:val="false"/>
                <w:smallCaps w:val="false"/>
                <w:spacing w:val="-2"/>
                <w:sz w:val="20"/>
              </w:rPr>
              <w:t>winnings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Tapping an entry → detailed breakdown (questions, correct answers, </w:t>
            </w:r>
            <w:r>
              <w:rPr>
                <w:rFonts w:ascii="Times New Roman;Times;Serif" w:hAnsi="Times New Roman;Times;Serif"/>
                <w:b w:val="false"/>
                <w:i w:val="false"/>
                <w:caps w:val="false"/>
                <w:smallCaps w:val="false"/>
                <w:spacing w:val="-2"/>
                <w:sz w:val="20"/>
              </w:rPr>
              <w:t>etc.).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5.5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pacing w:val="-2"/>
          <w:sz w:val="20"/>
        </w:rPr>
        <w:t>Navigation</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5876" w:type="dxa"/>
        <w:jc w:val="left"/>
        <w:tblInd w:w="0" w:type="dxa"/>
        <w:tblLayout w:type="fixed"/>
        <w:tblCellMar>
          <w:top w:w="0" w:type="dxa"/>
          <w:left w:w="0" w:type="dxa"/>
          <w:bottom w:w="0" w:type="dxa"/>
          <w:right w:w="0" w:type="dxa"/>
        </w:tblCellMar>
      </w:tblPr>
      <w:tblGrid>
        <w:gridCol w:w="75"/>
        <w:gridCol w:w="170"/>
        <w:gridCol w:w="5631"/>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Bottom Navigation Bar: Feed, Discover, Scores, Play (active), </w:t>
            </w:r>
            <w:r>
              <w:rPr>
                <w:rFonts w:ascii="Times New Roman;Times;Serif" w:hAnsi="Times New Roman;Times;Serif"/>
                <w:b w:val="false"/>
                <w:i w:val="false"/>
                <w:caps w:val="false"/>
                <w:smallCaps w:val="false"/>
                <w:spacing w:val="-2"/>
                <w:sz w:val="20"/>
              </w:rPr>
              <w:t>Profile.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Profile and Player Stats (Tab </w:t>
      </w:r>
      <w:r>
        <w:rPr>
          <w:rFonts w:ascii="Times New Roman;Times;Serif" w:hAnsi="Times New Roman;Times;Serif"/>
          <w:b/>
          <w:i w:val="false"/>
          <w:caps w:val="false"/>
          <w:smallCaps w:val="false"/>
          <w:spacing w:val="-5"/>
          <w:sz w:val="2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Primary Focus</w:t>
      </w:r>
      <w:r>
        <w:rPr>
          <w:rFonts w:ascii="Times New Roman;Times;Serif" w:hAnsi="Times New Roman;Times;Serif"/>
          <w:b w:val="false"/>
          <w:i w:val="false"/>
          <w:caps w:val="false"/>
          <w:smallCaps w:val="false"/>
          <w:sz w:val="20"/>
        </w:rPr>
        <w:t xml:space="preserve">: User account, social profile, wallet, settings, preferences, missions access, </w:t>
      </w:r>
      <w:r>
        <w:rPr>
          <w:rFonts w:ascii="Times New Roman;Times;Serif" w:hAnsi="Times New Roman;Times;Serif"/>
          <w:b w:val="false"/>
          <w:i w:val="false"/>
          <w:caps w:val="false"/>
          <w:smallCaps w:val="false"/>
          <w:spacing w:val="-2"/>
          <w:sz w:val="20"/>
        </w:rPr>
        <w:t>achievements.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6.1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Profile </w:t>
      </w:r>
      <w:r>
        <w:rPr>
          <w:rFonts w:ascii="Times New Roman;Times;Serif" w:hAnsi="Times New Roman;Times;Serif"/>
          <w:b/>
          <w:i w:val="false"/>
          <w:caps w:val="false"/>
          <w:smallCaps w:val="false"/>
          <w:spacing w:val="-2"/>
          <w:sz w:val="20"/>
        </w:rPr>
        <w:t>Header</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5209" w:type="dxa"/>
        <w:jc w:val="left"/>
        <w:tblInd w:w="0" w:type="dxa"/>
        <w:tblLayout w:type="fixed"/>
        <w:tblCellMar>
          <w:top w:w="0" w:type="dxa"/>
          <w:left w:w="0" w:type="dxa"/>
          <w:bottom w:w="0" w:type="dxa"/>
          <w:right w:w="0" w:type="dxa"/>
        </w:tblCellMar>
      </w:tblPr>
      <w:tblGrid>
        <w:gridCol w:w="75"/>
        <w:gridCol w:w="170"/>
        <w:gridCol w:w="4964"/>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User Avatar &amp; </w:t>
            </w:r>
            <w:r>
              <w:rPr>
                <w:rFonts w:ascii="Times New Roman;Times;Serif" w:hAnsi="Times New Roman;Times;Serif"/>
                <w:b w:val="false"/>
                <w:i w:val="false"/>
                <w:caps w:val="false"/>
                <w:smallCaps w:val="false"/>
                <w:spacing w:val="-4"/>
                <w:sz w:val="20"/>
              </w:rPr>
              <w:t>Name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Edit Profile button (change avatar, update </w:t>
            </w:r>
            <w:r>
              <w:rPr>
                <w:rFonts w:ascii="Times New Roman;Times;Serif" w:hAnsi="Times New Roman;Times;Serif"/>
                <w:b w:val="false"/>
                <w:i w:val="false"/>
                <w:caps w:val="false"/>
                <w:smallCaps w:val="false"/>
                <w:spacing w:val="-2"/>
                <w:sz w:val="20"/>
              </w:rPr>
              <w:t>info)</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User Level (e.g., “Level 5”) based on </w:t>
            </w:r>
            <w:r>
              <w:rPr>
                <w:rFonts w:ascii="Times New Roman;Times;Serif" w:hAnsi="Times New Roman;Times;Serif"/>
                <w:b w:val="false"/>
                <w:i w:val="false"/>
                <w:caps w:val="false"/>
                <w:smallCaps w:val="false"/>
                <w:spacing w:val="-2"/>
                <w:sz w:val="20"/>
              </w:rPr>
              <w:t>Missions/Achievements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6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Favorite Teams/Leagues” link to manage user </w:t>
            </w:r>
            <w:r>
              <w:rPr>
                <w:rFonts w:ascii="Times New Roman;Times;Serif" w:hAnsi="Times New Roman;Times;Serif"/>
                <w:b w:val="false"/>
                <w:i w:val="false"/>
                <w:caps w:val="false"/>
                <w:smallCaps w:val="false"/>
                <w:spacing w:val="-2"/>
                <w:sz w:val="20"/>
              </w:rPr>
              <w:t>preferences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Social stats (followers, following, </w:t>
            </w:r>
            <w:r>
              <w:rPr>
                <w:rFonts w:ascii="Times New Roman;Times;Serif" w:hAnsi="Times New Roman;Times;Serif"/>
                <w:b w:val="false"/>
                <w:i w:val="false"/>
                <w:caps w:val="false"/>
                <w:smallCaps w:val="false"/>
                <w:spacing w:val="-2"/>
                <w:sz w:val="20"/>
              </w:rPr>
              <w:t>engagement)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6.2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Social Profile </w:t>
      </w:r>
      <w:r>
        <w:rPr>
          <w:rFonts w:ascii="Times New Roman;Times;Serif" w:hAnsi="Times New Roman;Times;Serif"/>
          <w:b/>
          <w:i w:val="false"/>
          <w:caps w:val="false"/>
          <w:smallCaps w:val="false"/>
          <w:spacing w:val="-2"/>
          <w:sz w:val="20"/>
        </w:rPr>
        <w:t>Elements</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3028" w:type="dxa"/>
        <w:jc w:val="left"/>
        <w:tblInd w:w="0" w:type="dxa"/>
        <w:tblLayout w:type="fixed"/>
        <w:tblCellMar>
          <w:top w:w="0" w:type="dxa"/>
          <w:left w:w="0" w:type="dxa"/>
          <w:bottom w:w="0" w:type="dxa"/>
          <w:right w:w="0" w:type="dxa"/>
        </w:tblCellMar>
      </w:tblPr>
      <w:tblGrid>
        <w:gridCol w:w="75"/>
        <w:gridCol w:w="170"/>
        <w:gridCol w:w="278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Bio/About </w:t>
            </w:r>
            <w:r>
              <w:rPr>
                <w:rFonts w:ascii="Times New Roman;Times;Serif" w:hAnsi="Times New Roman;Times;Serif"/>
                <w:b w:val="false"/>
                <w:i w:val="false"/>
                <w:caps w:val="false"/>
                <w:smallCaps w:val="false"/>
                <w:spacing w:val="-2"/>
                <w:sz w:val="20"/>
              </w:rPr>
              <w:t>section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Achievements and badges </w:t>
            </w:r>
            <w:r>
              <w:rPr>
                <w:rFonts w:ascii="Times New Roman;Times;Serif" w:hAnsi="Times New Roman;Times;Serif"/>
                <w:b w:val="false"/>
                <w:i w:val="false"/>
                <w:caps w:val="false"/>
                <w:smallCaps w:val="false"/>
                <w:spacing w:val="-2"/>
                <w:sz w:val="20"/>
              </w:rPr>
              <w:t>display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Content </w:t>
            </w:r>
            <w:r>
              <w:rPr>
                <w:rFonts w:ascii="Times New Roman;Times;Serif" w:hAnsi="Times New Roman;Times;Serif"/>
                <w:b w:val="false"/>
                <w:i w:val="false"/>
                <w:caps w:val="false"/>
                <w:smallCaps w:val="false"/>
                <w:spacing w:val="-2"/>
                <w:sz w:val="20"/>
              </w:rPr>
              <w:t>tabs:</w:t>
            </w:r>
          </w:p>
        </w:tc>
      </w:tr>
    </w:tbl>
    <w:p>
      <w:pPr>
        <w:pStyle w:val="TextBody"/>
        <w:bidi w:val="0"/>
        <w:spacing w:before="0" w:after="0"/>
        <w:ind w:left="0" w:right="0" w:hanging="0"/>
        <w:jc w:val="left"/>
        <w:rPr>
          <w:caps w:val="false"/>
          <w:smallCaps w:val="false"/>
        </w:rPr>
      </w:pPr>
      <w:r>
        <w:rPr>
          <w:caps w:val="false"/>
          <w:smallCaps w:val="false"/>
        </w:rPr>
        <w:t> </w:t>
      </w:r>
    </w:p>
    <w:tbl>
      <w:tblPr>
        <w:tblW w:w="3997" w:type="dxa"/>
        <w:jc w:val="left"/>
        <w:tblInd w:w="0" w:type="dxa"/>
        <w:tblLayout w:type="fixed"/>
        <w:tblCellMar>
          <w:top w:w="0" w:type="dxa"/>
          <w:left w:w="0" w:type="dxa"/>
          <w:bottom w:w="0" w:type="dxa"/>
          <w:right w:w="0" w:type="dxa"/>
        </w:tblCellMar>
      </w:tblPr>
      <w:tblGrid>
        <w:gridCol w:w="75"/>
        <w:gridCol w:w="170"/>
        <w:gridCol w:w="3752"/>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Posts: User’s social </w:t>
            </w:r>
            <w:r>
              <w:rPr>
                <w:rFonts w:ascii="Times New Roman;Times;Serif" w:hAnsi="Times New Roman;Times;Serif"/>
                <w:b w:val="false"/>
                <w:i w:val="false"/>
                <w:caps w:val="false"/>
                <w:smallCaps w:val="false"/>
                <w:spacing w:val="-2"/>
                <w:sz w:val="20"/>
              </w:rPr>
              <w:t>content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Activity: Recent interactions and </w:t>
            </w:r>
            <w:r>
              <w:rPr>
                <w:rFonts w:ascii="Times New Roman;Times;Serif" w:hAnsi="Times New Roman;Times;Serif"/>
                <w:b w:val="false"/>
                <w:i w:val="false"/>
                <w:caps w:val="false"/>
                <w:smallCaps w:val="false"/>
                <w:spacing w:val="-2"/>
                <w:sz w:val="20"/>
              </w:rPr>
              <w:t>engagement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Collections: Saved </w:t>
            </w:r>
            <w:r>
              <w:rPr>
                <w:rFonts w:ascii="Times New Roman;Times;Serif" w:hAnsi="Times New Roman;Times;Serif"/>
                <w:b w:val="false"/>
                <w:i w:val="false"/>
                <w:caps w:val="false"/>
                <w:smallCaps w:val="false"/>
                <w:spacing w:val="-2"/>
                <w:sz w:val="20"/>
              </w:rPr>
              <w:t>content</w:t>
            </w:r>
          </w:p>
        </w:tc>
      </w:tr>
    </w:tbl>
    <w:p>
      <w:pPr>
        <w:pStyle w:val="TextBody"/>
        <w:bidi w:val="0"/>
        <w:spacing w:before="0" w:after="0"/>
        <w:ind w:left="0" w:right="0" w:hanging="0"/>
        <w:jc w:val="left"/>
        <w:rPr>
          <w:caps w:val="false"/>
          <w:smallCaps w:val="false"/>
        </w:rPr>
      </w:pPr>
      <w:r>
        <w:rPr>
          <w:caps w:val="false"/>
          <w:smallCaps w:val="false"/>
        </w:rPr>
        <w:t> </w:t>
      </w:r>
    </w:p>
    <w:tbl>
      <w:tblPr>
        <w:tblW w:w="3958" w:type="dxa"/>
        <w:jc w:val="left"/>
        <w:tblInd w:w="0" w:type="dxa"/>
        <w:tblLayout w:type="fixed"/>
        <w:tblCellMar>
          <w:top w:w="0" w:type="dxa"/>
          <w:left w:w="0" w:type="dxa"/>
          <w:bottom w:w="0" w:type="dxa"/>
          <w:right w:w="0" w:type="dxa"/>
        </w:tblCellMar>
      </w:tblPr>
      <w:tblGrid>
        <w:gridCol w:w="75"/>
        <w:gridCol w:w="170"/>
        <w:gridCol w:w="371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1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Find Friends” option to grow social </w:t>
            </w:r>
            <w:r>
              <w:rPr>
                <w:rFonts w:ascii="Times New Roman;Times;Serif" w:hAnsi="Times New Roman;Times;Serif"/>
                <w:b w:val="false"/>
                <w:i w:val="false"/>
                <w:caps w:val="false"/>
                <w:smallCaps w:val="false"/>
                <w:spacing w:val="-2"/>
                <w:sz w:val="20"/>
              </w:rPr>
              <w:t>network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1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Invite Friends” to share the </w:t>
            </w:r>
            <w:r>
              <w:rPr>
                <w:rFonts w:ascii="Times New Roman;Times;Serif" w:hAnsi="Times New Roman;Times;Serif"/>
                <w:b w:val="false"/>
                <w:i w:val="false"/>
                <w:caps w:val="false"/>
                <w:smallCaps w:val="false"/>
                <w:spacing w:val="-5"/>
                <w:sz w:val="20"/>
              </w:rPr>
              <w:t>app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6.3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pacing w:val="-2"/>
          <w:sz w:val="20"/>
        </w:rPr>
        <w:t>Wallet</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3523" w:type="dxa"/>
        <w:jc w:val="left"/>
        <w:tblInd w:w="0" w:type="dxa"/>
        <w:tblLayout w:type="fixed"/>
        <w:tblCellMar>
          <w:top w:w="0" w:type="dxa"/>
          <w:left w:w="0" w:type="dxa"/>
          <w:bottom w:w="0" w:type="dxa"/>
          <w:right w:w="0" w:type="dxa"/>
        </w:tblCellMar>
      </w:tblPr>
      <w:tblGrid>
        <w:gridCol w:w="75"/>
        <w:gridCol w:w="170"/>
        <w:gridCol w:w="3278"/>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Balance Display: current wallet </w:t>
            </w:r>
            <w:r>
              <w:rPr>
                <w:rFonts w:ascii="Times New Roman;Times;Serif" w:hAnsi="Times New Roman;Times;Serif"/>
                <w:b w:val="false"/>
                <w:i w:val="false"/>
                <w:caps w:val="false"/>
                <w:smallCaps w:val="false"/>
                <w:spacing w:val="-2"/>
                <w:sz w:val="20"/>
              </w:rPr>
              <w:t>amount.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 Withdraw </w:t>
            </w:r>
            <w:r>
              <w:rPr>
                <w:rFonts w:ascii="Times New Roman;Times;Serif" w:hAnsi="Times New Roman;Times;Serif"/>
                <w:b w:val="false"/>
                <w:i w:val="false"/>
                <w:caps w:val="false"/>
                <w:smallCaps w:val="false"/>
                <w:spacing w:val="-2"/>
                <w:sz w:val="20"/>
              </w:rPr>
              <w:t>buttons:</w:t>
            </w:r>
          </w:p>
        </w:tc>
      </w:tr>
    </w:tbl>
    <w:p>
      <w:pPr>
        <w:pStyle w:val="TextBody"/>
        <w:bidi w:val="0"/>
        <w:spacing w:before="0" w:after="0"/>
        <w:ind w:left="0" w:right="0" w:hanging="0"/>
        <w:jc w:val="left"/>
        <w:rPr>
          <w:caps w:val="false"/>
          <w:smallCaps w:val="false"/>
        </w:rPr>
      </w:pPr>
      <w:r>
        <w:rPr>
          <w:caps w:val="false"/>
          <w:smallCaps w:val="false"/>
        </w:rPr>
        <w:t> </w:t>
      </w:r>
    </w:p>
    <w:tbl>
      <w:tblPr>
        <w:tblW w:w="5621" w:type="dxa"/>
        <w:jc w:val="left"/>
        <w:tblInd w:w="0" w:type="dxa"/>
        <w:tblLayout w:type="fixed"/>
        <w:tblCellMar>
          <w:top w:w="0" w:type="dxa"/>
          <w:left w:w="0" w:type="dxa"/>
          <w:bottom w:w="0" w:type="dxa"/>
          <w:right w:w="0" w:type="dxa"/>
        </w:tblCellMar>
      </w:tblPr>
      <w:tblGrid>
        <w:gridCol w:w="75"/>
        <w:gridCol w:w="170"/>
        <w:gridCol w:w="537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Opens respective flows with payment gateways and KYC </w:t>
            </w:r>
            <w:r>
              <w:rPr>
                <w:rFonts w:ascii="Times New Roman;Times;Serif" w:hAnsi="Times New Roman;Times;Serif"/>
                <w:b w:val="false"/>
                <w:i w:val="false"/>
                <w:caps w:val="false"/>
                <w:smallCaps w:val="false"/>
                <w:spacing w:val="-2"/>
                <w:sz w:val="20"/>
              </w:rPr>
              <w:t>prompts.</w:t>
            </w:r>
          </w:p>
        </w:tc>
      </w:tr>
    </w:tbl>
    <w:p>
      <w:pPr>
        <w:pStyle w:val="TextBody"/>
        <w:bidi w:val="0"/>
        <w:spacing w:before="0" w:after="0"/>
        <w:ind w:left="0" w:right="0" w:hanging="0"/>
        <w:jc w:val="left"/>
        <w:rPr>
          <w:caps w:val="false"/>
          <w:smallCaps w:val="false"/>
        </w:rPr>
      </w:pPr>
      <w:r>
        <w:rPr>
          <w:caps w:val="false"/>
          <w:smallCaps w:val="false"/>
        </w:rPr>
        <w:t> </w:t>
      </w:r>
    </w:p>
    <w:tbl>
      <w:tblPr>
        <w:tblW w:w="5687" w:type="dxa"/>
        <w:jc w:val="left"/>
        <w:tblInd w:w="0" w:type="dxa"/>
        <w:tblLayout w:type="fixed"/>
        <w:tblCellMar>
          <w:top w:w="0" w:type="dxa"/>
          <w:left w:w="0" w:type="dxa"/>
          <w:bottom w:w="0" w:type="dxa"/>
          <w:right w:w="0" w:type="dxa"/>
        </w:tblCellMar>
      </w:tblPr>
      <w:tblGrid>
        <w:gridCol w:w="75"/>
        <w:gridCol w:w="170"/>
        <w:gridCol w:w="5442"/>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 History: deposit, withdrawal, and RMG winnings </w:t>
            </w:r>
            <w:r>
              <w:rPr>
                <w:rFonts w:ascii="Times New Roman;Times;Serif" w:hAnsi="Times New Roman;Times;Serif"/>
                <w:b w:val="false"/>
                <w:i w:val="false"/>
                <w:caps w:val="false"/>
                <w:smallCaps w:val="false"/>
                <w:spacing w:val="-2"/>
                <w:sz w:val="20"/>
              </w:rPr>
              <w:t>logs.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6.4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Complete KYC </w:t>
      </w:r>
      <w:r>
        <w:rPr>
          <w:rFonts w:ascii="Times New Roman;Times;Serif" w:hAnsi="Times New Roman;Times;Serif"/>
          <w:b/>
          <w:i w:val="false"/>
          <w:caps w:val="false"/>
          <w:smallCaps w:val="false"/>
          <w:spacing w:val="-2"/>
          <w:sz w:val="20"/>
        </w:rPr>
        <w:t>Button</w:t>
      </w:r>
    </w:p>
    <w:p>
      <w:pPr>
        <w:pStyle w:val="TextBody"/>
        <w:bidi w:val="0"/>
        <w:spacing w:before="0" w:after="0"/>
        <w:ind w:left="0" w:right="0" w:hanging="0"/>
        <w:jc w:val="left"/>
        <w:rPr>
          <w:caps w:val="false"/>
          <w:smallCaps w:val="false"/>
        </w:rPr>
      </w:pPr>
      <w:r>
        <w:rPr>
          <w:caps w:val="false"/>
          <w:smallCaps w:val="false"/>
        </w:rPr>
        <w:t> </w:t>
      </w:r>
    </w:p>
    <w:tbl>
      <w:tblPr>
        <w:tblW w:w="5482" w:type="dxa"/>
        <w:jc w:val="left"/>
        <w:tblInd w:w="0" w:type="dxa"/>
        <w:tblLayout w:type="fixed"/>
        <w:tblCellMar>
          <w:top w:w="0" w:type="dxa"/>
          <w:left w:w="0" w:type="dxa"/>
          <w:bottom w:w="0" w:type="dxa"/>
          <w:right w:w="0" w:type="dxa"/>
        </w:tblCellMar>
      </w:tblPr>
      <w:tblGrid>
        <w:gridCol w:w="75"/>
        <w:gridCol w:w="170"/>
        <w:gridCol w:w="523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Always visible if KYC not </w:t>
            </w:r>
            <w:r>
              <w:rPr>
                <w:rFonts w:ascii="Times New Roman;Times;Serif" w:hAnsi="Times New Roman;Times;Serif"/>
                <w:b w:val="false"/>
                <w:i w:val="false"/>
                <w:caps w:val="false"/>
                <w:smallCaps w:val="false"/>
                <w:spacing w:val="-2"/>
                <w:sz w:val="20"/>
              </w:rPr>
              <w:t>completed.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Tapping leads to the KYC Flow (upload ID, </w:t>
            </w:r>
            <w:r>
              <w:rPr>
                <w:rFonts w:ascii="Times New Roman;Times;Serif" w:hAnsi="Times New Roman;Times;Serif"/>
                <w:b w:val="false"/>
                <w:i w:val="false"/>
                <w:caps w:val="false"/>
                <w:smallCaps w:val="false"/>
                <w:spacing w:val="-2"/>
                <w:sz w:val="20"/>
              </w:rPr>
              <w:t>etc.).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Mandatory when deposit/withdraw surpasses a certain </w:t>
            </w:r>
            <w:r>
              <w:rPr>
                <w:rFonts w:ascii="Times New Roman;Times;Serif" w:hAnsi="Times New Roman;Times;Serif"/>
                <w:b w:val="false"/>
                <w:i w:val="false"/>
                <w:caps w:val="false"/>
                <w:smallCaps w:val="false"/>
                <w:spacing w:val="-2"/>
                <w:sz w:val="20"/>
              </w:rPr>
              <w:t>threshold.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6.5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Settings &amp; </w:t>
      </w:r>
      <w:r>
        <w:rPr>
          <w:rFonts w:ascii="Times New Roman;Times;Serif" w:hAnsi="Times New Roman;Times;Serif"/>
          <w:b/>
          <w:i w:val="false"/>
          <w:caps w:val="false"/>
          <w:smallCaps w:val="false"/>
          <w:spacing w:val="-2"/>
          <w:sz w:val="20"/>
        </w:rPr>
        <w:t>Preferences</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5998" w:type="dxa"/>
        <w:jc w:val="left"/>
        <w:tblInd w:w="0" w:type="dxa"/>
        <w:tblLayout w:type="fixed"/>
        <w:tblCellMar>
          <w:top w:w="0" w:type="dxa"/>
          <w:left w:w="0" w:type="dxa"/>
          <w:bottom w:w="0" w:type="dxa"/>
          <w:right w:w="0" w:type="dxa"/>
        </w:tblCellMar>
      </w:tblPr>
      <w:tblGrid>
        <w:gridCol w:w="75"/>
        <w:gridCol w:w="170"/>
        <w:gridCol w:w="575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 Settings: change email, phone, </w:t>
            </w:r>
            <w:r>
              <w:rPr>
                <w:rFonts w:ascii="Times New Roman;Times;Serif" w:hAnsi="Times New Roman;Times;Serif"/>
                <w:b w:val="false"/>
                <w:i w:val="false"/>
                <w:caps w:val="false"/>
                <w:smallCaps w:val="false"/>
                <w:spacing w:val="-2"/>
                <w:sz w:val="20"/>
              </w:rPr>
              <w:t>password.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Notifications: toggle match alerts, game invites, social </w:t>
            </w:r>
            <w:r>
              <w:rPr>
                <w:rFonts w:ascii="Times New Roman;Times;Serif" w:hAnsi="Times New Roman;Times;Serif"/>
                <w:b w:val="false"/>
                <w:i w:val="false"/>
                <w:caps w:val="false"/>
                <w:smallCaps w:val="false"/>
                <w:spacing w:val="-2"/>
                <w:sz w:val="20"/>
              </w:rPr>
              <w:t>notifications.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Privacy Settings: control who can see profile, contact user, view </w:t>
            </w:r>
            <w:r>
              <w:rPr>
                <w:rFonts w:ascii="Times New Roman;Times;Serif" w:hAnsi="Times New Roman;Times;Serif"/>
                <w:b w:val="false"/>
                <w:i w:val="false"/>
                <w:caps w:val="false"/>
                <w:smallCaps w:val="false"/>
                <w:spacing w:val="-2"/>
                <w:sz w:val="20"/>
              </w:rPr>
              <w:t>stories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Responsible Gaming: set deposit limits, </w:t>
            </w:r>
            <w:r>
              <w:rPr>
                <w:rFonts w:ascii="Times New Roman;Times;Serif" w:hAnsi="Times New Roman;Times;Serif"/>
                <w:b w:val="false"/>
                <w:i w:val="false"/>
                <w:caps w:val="false"/>
                <w:smallCaps w:val="false"/>
                <w:spacing w:val="-2"/>
                <w:sz w:val="20"/>
              </w:rPr>
              <w:t>disclaimers.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Language &amp; Region: multi-lingual </w:t>
            </w:r>
            <w:r>
              <w:rPr>
                <w:rFonts w:ascii="Times New Roman;Times;Serif" w:hAnsi="Times New Roman;Times;Serif"/>
                <w:b w:val="false"/>
                <w:i w:val="false"/>
                <w:caps w:val="false"/>
                <w:smallCaps w:val="false"/>
                <w:spacing w:val="-2"/>
                <w:sz w:val="20"/>
              </w:rPr>
              <w:t>support.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Help &amp; Support: FAQs, contact info, T&amp;Cs, privacy </w:t>
            </w:r>
            <w:r>
              <w:rPr>
                <w:rFonts w:ascii="Times New Roman;Times;Serif" w:hAnsi="Times New Roman;Times;Serif"/>
                <w:b w:val="false"/>
                <w:i w:val="false"/>
                <w:caps w:val="false"/>
                <w:smallCaps w:val="false"/>
                <w:spacing w:val="-2"/>
                <w:sz w:val="20"/>
              </w:rPr>
              <w:t>policy.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6.6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Missions &amp; </w:t>
      </w:r>
      <w:r>
        <w:rPr>
          <w:rFonts w:ascii="Times New Roman;Times;Serif" w:hAnsi="Times New Roman;Times;Serif"/>
          <w:b/>
          <w:i w:val="false"/>
          <w:caps w:val="false"/>
          <w:smallCaps w:val="false"/>
          <w:spacing w:val="-2"/>
          <w:sz w:val="20"/>
        </w:rPr>
        <w:t>Achievements</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Integrated Loyalty &amp; Rewards: This section shows daily/weekly missions, cumulative GXR Points earned from multiple actions (e.g., watching matches, playing RMG, chatting, sharing content), and achievement badges.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Tiered Rewards: Displays user level and progress toward unlocking VIP fan tiers with exclusive perks such as bonus multipliers and discounted RMG entry fees.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6.7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Premium Subscription </w:t>
      </w:r>
      <w:r>
        <w:rPr>
          <w:rFonts w:ascii="Times New Roman;Times;Serif" w:hAnsi="Times New Roman;Times;Serif"/>
          <w:b/>
          <w:i w:val="false"/>
          <w:caps w:val="false"/>
          <w:smallCaps w:val="false"/>
          <w:spacing w:val="-2"/>
          <w:sz w:val="20"/>
        </w:rPr>
        <w:t>Option</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7337" w:type="dxa"/>
        <w:jc w:val="left"/>
        <w:tblInd w:w="0" w:type="dxa"/>
        <w:tblLayout w:type="fixed"/>
        <w:tblCellMar>
          <w:top w:w="0" w:type="dxa"/>
          <w:left w:w="0" w:type="dxa"/>
          <w:bottom w:w="0" w:type="dxa"/>
          <w:right w:w="0" w:type="dxa"/>
        </w:tblCellMar>
      </w:tblPr>
      <w:tblGrid>
        <w:gridCol w:w="75"/>
        <w:gridCol w:w="170"/>
        <w:gridCol w:w="7092"/>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dedicated section where users can subscribe to a premium plan. Premium users </w:t>
            </w:r>
            <w:r>
              <w:rPr>
                <w:rFonts w:ascii="Times New Roman;Times;Serif" w:hAnsi="Times New Roman;Times;Serif"/>
                <w:b w:val="false"/>
                <w:i w:val="false"/>
                <w:caps w:val="false"/>
                <w:smallCaps w:val="false"/>
                <w:spacing w:val="-2"/>
                <w:sz w:val="20"/>
              </w:rPr>
              <w:t>enjoy:</w:t>
            </w:r>
          </w:p>
        </w:tc>
      </w:tr>
    </w:tbl>
    <w:p>
      <w:pPr>
        <w:pStyle w:val="TextBody"/>
        <w:bidi w:val="0"/>
        <w:spacing w:before="0" w:after="0"/>
        <w:ind w:left="0" w:right="0" w:hanging="0"/>
        <w:jc w:val="left"/>
        <w:rPr>
          <w:caps w:val="false"/>
          <w:smallCaps w:val="false"/>
        </w:rPr>
      </w:pPr>
      <w:r>
        <w:rPr>
          <w:caps w:val="false"/>
          <w:smallCaps w:val="false"/>
        </w:rPr>
        <w:t> </w:t>
      </w:r>
    </w:p>
    <w:tbl>
      <w:tblPr>
        <w:tblW w:w="4070" w:type="dxa"/>
        <w:jc w:val="left"/>
        <w:tblInd w:w="0" w:type="dxa"/>
        <w:tblLayout w:type="fixed"/>
        <w:tblCellMar>
          <w:top w:w="0" w:type="dxa"/>
          <w:left w:w="0" w:type="dxa"/>
          <w:bottom w:w="0" w:type="dxa"/>
          <w:right w:w="0" w:type="dxa"/>
        </w:tblCellMar>
      </w:tblPr>
      <w:tblGrid>
        <w:gridCol w:w="75"/>
        <w:gridCol w:w="170"/>
        <w:gridCol w:w="3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Ad-free streaming across all </w:t>
            </w:r>
            <w:r>
              <w:rPr>
                <w:rFonts w:ascii="Times New Roman;Times;Serif" w:hAnsi="Times New Roman;Times;Serif"/>
                <w:b w:val="false"/>
                <w:i w:val="false"/>
                <w:caps w:val="false"/>
                <w:smallCaps w:val="false"/>
                <w:spacing w:val="-2"/>
                <w:sz w:val="20"/>
              </w:rPr>
              <w:t>features.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Priority access to RMG </w:t>
            </w:r>
            <w:r>
              <w:rPr>
                <w:rFonts w:ascii="Times New Roman;Times;Serif" w:hAnsi="Times New Roman;Times;Serif"/>
                <w:b w:val="false"/>
                <w:i w:val="false"/>
                <w:caps w:val="false"/>
                <w:smallCaps w:val="false"/>
                <w:spacing w:val="-2"/>
                <w:sz w:val="20"/>
              </w:rPr>
              <w:t>tournaments.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Bonus GXR Points multipliers on all </w:t>
            </w:r>
            <w:r>
              <w:rPr>
                <w:rFonts w:ascii="Times New Roman;Times;Serif" w:hAnsi="Times New Roman;Times;Serif"/>
                <w:b w:val="false"/>
                <w:i w:val="false"/>
                <w:caps w:val="false"/>
                <w:smallCaps w:val="false"/>
                <w:spacing w:val="-2"/>
                <w:sz w:val="20"/>
              </w:rPr>
              <w:t>activities.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Exclusive match experiences and </w:t>
            </w:r>
            <w:r>
              <w:rPr>
                <w:rFonts w:ascii="Times New Roman;Times;Serif" w:hAnsi="Times New Roman;Times;Serif"/>
                <w:b w:val="false"/>
                <w:i w:val="false"/>
                <w:caps w:val="false"/>
                <w:smallCaps w:val="false"/>
                <w:spacing w:val="-2"/>
                <w:sz w:val="20"/>
              </w:rPr>
              <w:t>rewards.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Premium badge for social </w:t>
            </w:r>
            <w:r>
              <w:rPr>
                <w:rFonts w:ascii="Times New Roman;Times;Serif" w:hAnsi="Times New Roman;Times;Serif"/>
                <w:b w:val="false"/>
                <w:i w:val="false"/>
                <w:caps w:val="false"/>
                <w:smallCaps w:val="false"/>
                <w:spacing w:val="-2"/>
                <w:sz w:val="20"/>
              </w:rPr>
              <w:t>profile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Priority in chat and hub </w:t>
            </w:r>
            <w:r>
              <w:rPr>
                <w:rFonts w:ascii="Times New Roman;Times;Serif" w:hAnsi="Times New Roman;Times;Serif"/>
                <w:b w:val="false"/>
                <w:i w:val="false"/>
                <w:caps w:val="false"/>
                <w:smallCaps w:val="false"/>
                <w:spacing w:val="-2"/>
                <w:sz w:val="20"/>
              </w:rPr>
              <w:t>discussions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6.8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Log </w:t>
      </w:r>
      <w:r>
        <w:rPr>
          <w:rFonts w:ascii="Times New Roman;Times;Serif" w:hAnsi="Times New Roman;Times;Serif"/>
          <w:b/>
          <w:i w:val="false"/>
          <w:caps w:val="false"/>
          <w:smallCaps w:val="false"/>
          <w:spacing w:val="-5"/>
          <w:sz w:val="20"/>
        </w:rPr>
        <w:t>Out</w:t>
      </w:r>
    </w:p>
    <w:p>
      <w:pPr>
        <w:pStyle w:val="TextBody"/>
        <w:bidi w:val="0"/>
        <w:spacing w:before="0" w:after="0"/>
        <w:ind w:left="0" w:right="0" w:hanging="0"/>
        <w:jc w:val="left"/>
        <w:rPr>
          <w:caps w:val="false"/>
          <w:smallCaps w:val="false"/>
          <w:spacing w:val="-5"/>
        </w:rPr>
      </w:pPr>
      <w:r>
        <w:rPr>
          <w:caps w:val="false"/>
          <w:smallCaps w:val="false"/>
          <w:spacing w:val="-5"/>
        </w:rPr>
        <w:t> </w:t>
      </w:r>
    </w:p>
    <w:tbl>
      <w:tblPr>
        <w:tblW w:w="4682" w:type="dxa"/>
        <w:jc w:val="left"/>
        <w:tblInd w:w="0" w:type="dxa"/>
        <w:tblLayout w:type="fixed"/>
        <w:tblCellMar>
          <w:top w:w="0" w:type="dxa"/>
          <w:left w:w="0" w:type="dxa"/>
          <w:bottom w:w="0" w:type="dxa"/>
          <w:right w:w="0" w:type="dxa"/>
        </w:tblCellMar>
      </w:tblPr>
      <w:tblGrid>
        <w:gridCol w:w="75"/>
        <w:gridCol w:w="170"/>
        <w:gridCol w:w="443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Located at the bottom or in a top-right overflow </w:t>
            </w:r>
            <w:r>
              <w:rPr>
                <w:rFonts w:ascii="Times New Roman;Times;Serif" w:hAnsi="Times New Roman;Times;Serif"/>
                <w:b w:val="false"/>
                <w:i w:val="false"/>
                <w:caps w:val="false"/>
                <w:smallCaps w:val="false"/>
                <w:spacing w:val="-2"/>
                <w:sz w:val="20"/>
              </w:rPr>
              <w:t>menu.</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6.9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pacing w:val="-2"/>
          <w:sz w:val="20"/>
        </w:rPr>
        <w:t>Navigation</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5878" w:type="dxa"/>
        <w:jc w:val="left"/>
        <w:tblInd w:w="0" w:type="dxa"/>
        <w:tblLayout w:type="fixed"/>
        <w:tblCellMar>
          <w:top w:w="0" w:type="dxa"/>
          <w:left w:w="0" w:type="dxa"/>
          <w:bottom w:w="0" w:type="dxa"/>
          <w:right w:w="0" w:type="dxa"/>
        </w:tblCellMar>
      </w:tblPr>
      <w:tblGrid>
        <w:gridCol w:w="75"/>
        <w:gridCol w:w="170"/>
        <w:gridCol w:w="563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Bottom Navigation Bar: Feed, Discover, Scores, Play, Profile </w:t>
            </w:r>
            <w:r>
              <w:rPr>
                <w:rFonts w:ascii="Times New Roman;Times;Serif" w:hAnsi="Times New Roman;Times;Serif"/>
                <w:b w:val="false"/>
                <w:i w:val="false"/>
                <w:caps w:val="false"/>
                <w:smallCaps w:val="false"/>
                <w:spacing w:val="-2"/>
                <w:sz w:val="20"/>
              </w:rPr>
              <w:t>(active).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Live </w:t>
      </w:r>
      <w:r>
        <w:rPr>
          <w:rFonts w:ascii="Times New Roman;Times;Serif" w:hAnsi="Times New Roman;Times;Serif"/>
          <w:b/>
          <w:i w:val="false"/>
          <w:caps w:val="false"/>
          <w:smallCaps w:val="false"/>
          <w:spacing w:val="-2"/>
          <w:sz w:val="20"/>
        </w:rPr>
        <w:t>Streaming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Primary Focus</w:t>
      </w:r>
      <w:r>
        <w:rPr>
          <w:rFonts w:ascii="Times New Roman;Times;Serif" w:hAnsi="Times New Roman;Times;Serif"/>
          <w:b w:val="false"/>
          <w:i w:val="false"/>
          <w:caps w:val="false"/>
          <w:smallCaps w:val="false"/>
          <w:sz w:val="20"/>
        </w:rPr>
        <w:t xml:space="preserve">: Live match streaming with integrated social and gaming </w:t>
      </w:r>
      <w:r>
        <w:rPr>
          <w:rFonts w:ascii="Times New Roman;Times;Serif" w:hAnsi="Times New Roman;Times;Serif"/>
          <w:b w:val="false"/>
          <w:i w:val="false"/>
          <w:caps w:val="false"/>
          <w:smallCaps w:val="false"/>
          <w:spacing w:val="-2"/>
          <w:sz w:val="20"/>
        </w:rPr>
        <w:t>features.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7.1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Live Matches </w:t>
      </w:r>
      <w:r>
        <w:rPr>
          <w:rFonts w:ascii="Times New Roman;Times;Serif" w:hAnsi="Times New Roman;Times;Serif"/>
          <w:b/>
          <w:i w:val="false"/>
          <w:caps w:val="false"/>
          <w:smallCaps w:val="false"/>
          <w:spacing w:val="-2"/>
          <w:sz w:val="20"/>
        </w:rPr>
        <w:t>Overview</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1624" w:type="dxa"/>
        <w:jc w:val="left"/>
        <w:tblInd w:w="0" w:type="dxa"/>
        <w:tblLayout w:type="fixed"/>
        <w:tblCellMar>
          <w:top w:w="0" w:type="dxa"/>
          <w:left w:w="0" w:type="dxa"/>
          <w:bottom w:w="0" w:type="dxa"/>
          <w:right w:w="0" w:type="dxa"/>
        </w:tblCellMar>
      </w:tblPr>
      <w:tblGrid>
        <w:gridCol w:w="75"/>
        <w:gridCol w:w="170"/>
        <w:gridCol w:w="1379"/>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Accessible </w:t>
            </w:r>
            <w:r>
              <w:rPr>
                <w:rFonts w:ascii="Times New Roman;Times;Serif" w:hAnsi="Times New Roman;Times;Serif"/>
                <w:b w:val="false"/>
                <w:i w:val="false"/>
                <w:caps w:val="false"/>
                <w:smallCaps w:val="false"/>
                <w:spacing w:val="-2"/>
                <w:sz w:val="20"/>
              </w:rPr>
              <w:t>from:</w:t>
            </w:r>
          </w:p>
        </w:tc>
      </w:tr>
    </w:tbl>
    <w:p>
      <w:pPr>
        <w:pStyle w:val="TextBody"/>
        <w:bidi w:val="0"/>
        <w:spacing w:before="0" w:after="0"/>
        <w:ind w:left="0" w:right="0" w:hanging="0"/>
        <w:jc w:val="left"/>
        <w:rPr>
          <w:caps w:val="false"/>
          <w:smallCaps w:val="false"/>
        </w:rPr>
      </w:pPr>
      <w:r>
        <w:rPr>
          <w:caps w:val="false"/>
          <w:smallCaps w:val="false"/>
        </w:rPr>
        <w:t> </w:t>
      </w:r>
    </w:p>
    <w:tbl>
      <w:tblPr>
        <w:tblW w:w="3448" w:type="dxa"/>
        <w:jc w:val="left"/>
        <w:tblInd w:w="0" w:type="dxa"/>
        <w:tblLayout w:type="fixed"/>
        <w:tblCellMar>
          <w:top w:w="0" w:type="dxa"/>
          <w:left w:w="0" w:type="dxa"/>
          <w:bottom w:w="0" w:type="dxa"/>
          <w:right w:w="0" w:type="dxa"/>
        </w:tblCellMar>
      </w:tblPr>
      <w:tblGrid>
        <w:gridCol w:w="75"/>
        <w:gridCol w:w="170"/>
        <w:gridCol w:w="320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0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Live Matches” section on Social </w:t>
            </w:r>
            <w:r>
              <w:rPr>
                <w:rFonts w:ascii="Times New Roman;Times;Serif" w:hAnsi="Times New Roman;Times;Serif"/>
                <w:b w:val="false"/>
                <w:i w:val="false"/>
                <w:caps w:val="false"/>
                <w:smallCaps w:val="false"/>
                <w:spacing w:val="-4"/>
                <w:sz w:val="20"/>
              </w:rPr>
              <w:t>Feed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Live tab on </w:t>
            </w:r>
            <w:r>
              <w:rPr>
                <w:rFonts w:ascii="Times New Roman;Times;Serif" w:hAnsi="Times New Roman;Times;Serif"/>
                <w:b w:val="false"/>
                <w:i w:val="false"/>
                <w:caps w:val="false"/>
                <w:smallCaps w:val="false"/>
                <w:spacing w:val="-2"/>
                <w:sz w:val="20"/>
              </w:rPr>
              <w:t>Scores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notifications for favorite </w:t>
            </w:r>
            <w:r>
              <w:rPr>
                <w:rFonts w:ascii="Times New Roman;Times;Serif" w:hAnsi="Times New Roman;Times;Serif"/>
                <w:b w:val="false"/>
                <w:i w:val="false"/>
                <w:caps w:val="false"/>
                <w:smallCaps w:val="false"/>
                <w:spacing w:val="-2"/>
                <w:sz w:val="20"/>
              </w:rPr>
              <w:t>teams</w:t>
            </w:r>
          </w:p>
        </w:tc>
      </w:tr>
    </w:tbl>
    <w:p>
      <w:pPr>
        <w:pStyle w:val="TextBody"/>
        <w:bidi w:val="0"/>
        <w:spacing w:before="0" w:after="0"/>
        <w:ind w:left="0" w:right="0" w:hanging="0"/>
        <w:jc w:val="left"/>
        <w:rPr>
          <w:caps w:val="false"/>
          <w:smallCaps w:val="false"/>
        </w:rPr>
      </w:pPr>
      <w:r>
        <w:rPr>
          <w:caps w:val="false"/>
          <w:smallCaps w:val="false"/>
        </w:rPr>
        <w:t> </w:t>
      </w:r>
    </w:p>
    <w:tbl>
      <w:tblPr>
        <w:tblW w:w="915" w:type="dxa"/>
        <w:jc w:val="left"/>
        <w:tblInd w:w="0" w:type="dxa"/>
        <w:tblLayout w:type="fixed"/>
        <w:tblCellMar>
          <w:top w:w="0" w:type="dxa"/>
          <w:left w:w="0" w:type="dxa"/>
          <w:bottom w:w="0" w:type="dxa"/>
          <w:right w:w="0" w:type="dxa"/>
        </w:tblCellMar>
      </w:tblPr>
      <w:tblGrid>
        <w:gridCol w:w="75"/>
        <w:gridCol w:w="170"/>
        <w:gridCol w:w="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0"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Layout:</w:t>
            </w:r>
          </w:p>
        </w:tc>
      </w:tr>
    </w:tbl>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multiple matches, show a list of match thumbnails with team logos, match time, “LIVE” label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CTA: “Watch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4"/>
                <w:sz w:val="20"/>
              </w:rPr>
              <w:t>Now”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7.2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Match Live </w:t>
      </w:r>
      <w:r>
        <w:rPr>
          <w:rFonts w:ascii="Times New Roman;Times;Serif" w:hAnsi="Times New Roman;Times;Serif"/>
          <w:b/>
          <w:i w:val="false"/>
          <w:caps w:val="false"/>
          <w:smallCaps w:val="false"/>
          <w:spacing w:val="-2"/>
          <w:sz w:val="20"/>
        </w:rPr>
        <w:t>Stream</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5044" w:type="dxa"/>
        <w:jc w:val="left"/>
        <w:tblInd w:w="0" w:type="dxa"/>
        <w:tblLayout w:type="fixed"/>
        <w:tblCellMar>
          <w:top w:w="0" w:type="dxa"/>
          <w:left w:w="0" w:type="dxa"/>
          <w:bottom w:w="0" w:type="dxa"/>
          <w:right w:w="0" w:type="dxa"/>
        </w:tblCellMar>
      </w:tblPr>
      <w:tblGrid>
        <w:gridCol w:w="75"/>
        <w:gridCol w:w="170"/>
        <w:gridCol w:w="4799"/>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Full Screen Video </w:t>
            </w:r>
            <w:r>
              <w:rPr>
                <w:rFonts w:ascii="Times New Roman;Times;Serif" w:hAnsi="Times New Roman;Times;Serif"/>
                <w:b w:val="false"/>
                <w:i w:val="false"/>
                <w:caps w:val="false"/>
                <w:smallCaps w:val="false"/>
                <w:spacing w:val="-2"/>
                <w:sz w:val="20"/>
              </w:rPr>
              <w:t>Player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Top Overlay: Display basic match info (teams, score, </w:t>
            </w:r>
            <w:r>
              <w:rPr>
                <w:rFonts w:ascii="Times New Roman;Times;Serif" w:hAnsi="Times New Roman;Times;Serif"/>
                <w:b w:val="false"/>
                <w:i w:val="false"/>
                <w:caps w:val="false"/>
                <w:smallCaps w:val="false"/>
                <w:spacing w:val="-2"/>
                <w:sz w:val="20"/>
              </w:rPr>
              <w:t>time).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Overlay </w:t>
            </w:r>
            <w:r>
              <w:rPr>
                <w:rFonts w:ascii="Times New Roman;Times;Serif" w:hAnsi="Times New Roman;Times;Serif"/>
                <w:b w:val="false"/>
                <w:i w:val="false"/>
                <w:caps w:val="false"/>
                <w:smallCaps w:val="false"/>
                <w:spacing w:val="-2"/>
                <w:sz w:val="20"/>
              </w:rPr>
              <w:t>Icons:</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170"/>
        <w:gridCol w:w="90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RMG/Trivia icon: Opens an integrated side panel with one-click betting options and real-time interactive polls.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Chat icon: Opens in-stream chat that also supports quick ‘chat bets’ (e.g., type YES to bet).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 icon: Capture and share moments to social </w:t>
            </w:r>
            <w:r>
              <w:rPr>
                <w:rFonts w:ascii="Times New Roman;Times;Serif" w:hAnsi="Times New Roman;Times;Serif"/>
                <w:b w:val="false"/>
                <w:i w:val="false"/>
                <w:caps w:val="false"/>
                <w:smallCaps w:val="false"/>
                <w:spacing w:val="-4"/>
                <w:sz w:val="20"/>
              </w:rPr>
              <w:t>feed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Premium Indicator (if applicable): Visible for premium subscribers for exclusive </w:t>
            </w:r>
            <w:r>
              <w:rPr>
                <w:rFonts w:ascii="Times New Roman;Times;Serif" w:hAnsi="Times New Roman;Times;Serif"/>
                <w:b w:val="false"/>
                <w:i w:val="false"/>
                <w:caps w:val="false"/>
                <w:smallCaps w:val="false"/>
                <w:spacing w:val="-2"/>
                <w:sz w:val="20"/>
              </w:rPr>
              <w:t>offers.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Embedded Betting Options: A non-intrusive banner overlay within the video reading ‘Who will score next? Tap to bet instantly’ without redirecting to a separate 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7.3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In-Match Gaming </w:t>
      </w:r>
      <w:r>
        <w:rPr>
          <w:rFonts w:ascii="Times New Roman;Times;Serif" w:hAnsi="Times New Roman;Times;Serif"/>
          <w:b/>
          <w:i w:val="false"/>
          <w:caps w:val="false"/>
          <w:smallCaps w:val="false"/>
          <w:spacing w:val="-2"/>
          <w:sz w:val="20"/>
        </w:rPr>
        <w:t>Overlays</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7987" w:type="dxa"/>
        <w:jc w:val="left"/>
        <w:tblInd w:w="0" w:type="dxa"/>
        <w:tblLayout w:type="fixed"/>
        <w:tblCellMar>
          <w:top w:w="0" w:type="dxa"/>
          <w:left w:w="0" w:type="dxa"/>
          <w:bottom w:w="0" w:type="dxa"/>
          <w:right w:w="0" w:type="dxa"/>
        </w:tblCellMar>
      </w:tblPr>
      <w:tblGrid>
        <w:gridCol w:w="75"/>
        <w:gridCol w:w="170"/>
        <w:gridCol w:w="7742"/>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the user taps the Game Icon, a slide-in panel appears with match-specific RMG </w:t>
            </w:r>
            <w:r>
              <w:rPr>
                <w:rFonts w:ascii="Times New Roman;Times;Serif" w:hAnsi="Times New Roman;Times;Serif"/>
                <w:b w:val="false"/>
                <w:i w:val="false"/>
                <w:caps w:val="false"/>
                <w:smallCaps w:val="false"/>
                <w:spacing w:val="-2"/>
                <w:sz w:val="20"/>
              </w:rPr>
              <w:t>activities:</w:t>
            </w:r>
          </w:p>
        </w:tc>
      </w:tr>
    </w:tbl>
    <w:p>
      <w:pPr>
        <w:pStyle w:val="TextBody"/>
        <w:bidi w:val="0"/>
        <w:spacing w:before="0" w:after="0"/>
        <w:ind w:left="0" w:right="0" w:hanging="0"/>
        <w:jc w:val="left"/>
        <w:rPr>
          <w:caps w:val="false"/>
          <w:smallCaps w:val="false"/>
        </w:rPr>
      </w:pPr>
      <w:r>
        <w:rPr>
          <w:caps w:val="false"/>
          <w:smallCaps w:val="false"/>
        </w:rPr>
        <w:t> </w:t>
      </w:r>
    </w:p>
    <w:tbl>
      <w:tblPr>
        <w:tblW w:w="3703" w:type="dxa"/>
        <w:jc w:val="left"/>
        <w:tblInd w:w="0" w:type="dxa"/>
        <w:tblLayout w:type="fixed"/>
        <w:tblCellMar>
          <w:top w:w="0" w:type="dxa"/>
          <w:left w:w="0" w:type="dxa"/>
          <w:bottom w:w="0" w:type="dxa"/>
          <w:right w:w="0" w:type="dxa"/>
        </w:tblCellMar>
      </w:tblPr>
      <w:tblGrid>
        <w:gridCol w:w="75"/>
        <w:gridCol w:w="170"/>
        <w:gridCol w:w="3458"/>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Who will score the next </w:t>
            </w:r>
            <w:r>
              <w:rPr>
                <w:rFonts w:ascii="Times New Roman;Times;Serif" w:hAnsi="Times New Roman;Times;Serif"/>
                <w:b w:val="false"/>
                <w:i w:val="false"/>
                <w:caps w:val="false"/>
                <w:smallCaps w:val="false"/>
                <w:spacing w:val="-2"/>
                <w:sz w:val="20"/>
              </w:rPr>
              <w:t>goal?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Will there be a goal in the next 5 </w:t>
            </w:r>
            <w:r>
              <w:rPr>
                <w:rFonts w:ascii="Times New Roman;Times;Serif" w:hAnsi="Times New Roman;Times;Serif"/>
                <w:b w:val="false"/>
                <w:i w:val="false"/>
                <w:caps w:val="false"/>
                <w:smallCaps w:val="false"/>
                <w:spacing w:val="-2"/>
                <w:sz w:val="20"/>
              </w:rPr>
              <w:t>minutes?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Predict the final </w:t>
            </w:r>
            <w:r>
              <w:rPr>
                <w:rFonts w:ascii="Times New Roman;Times;Serif" w:hAnsi="Times New Roman;Times;Serif"/>
                <w:b w:val="false"/>
                <w:i w:val="false"/>
                <w:caps w:val="false"/>
                <w:smallCaps w:val="false"/>
                <w:spacing w:val="-2"/>
                <w:sz w:val="20"/>
              </w:rPr>
              <w:t>score.</w:t>
            </w:r>
          </w:p>
        </w:tc>
      </w:tr>
    </w:tbl>
    <w:p>
      <w:pPr>
        <w:pStyle w:val="TextBody"/>
        <w:bidi w:val="0"/>
        <w:spacing w:before="0" w:after="0"/>
        <w:ind w:left="0" w:right="0" w:hanging="0"/>
        <w:jc w:val="left"/>
        <w:rPr>
          <w:caps w:val="false"/>
          <w:smallCaps w:val="false"/>
        </w:rPr>
      </w:pPr>
      <w:r>
        <w:rPr>
          <w:caps w:val="false"/>
          <w:smallCaps w:val="false"/>
        </w:rPr>
        <w:t> </w:t>
      </w:r>
    </w:p>
    <w:tbl>
      <w:tblPr>
        <w:tblW w:w="3356" w:type="dxa"/>
        <w:jc w:val="left"/>
        <w:tblInd w:w="0" w:type="dxa"/>
        <w:tblLayout w:type="fixed"/>
        <w:tblCellMar>
          <w:top w:w="0" w:type="dxa"/>
          <w:left w:w="0" w:type="dxa"/>
          <w:bottom w:w="0" w:type="dxa"/>
          <w:right w:w="0" w:type="dxa"/>
        </w:tblCellMar>
      </w:tblPr>
      <w:tblGrid>
        <w:gridCol w:w="75"/>
        <w:gridCol w:w="170"/>
        <w:gridCol w:w="3111"/>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“game” or “challenge” </w:t>
            </w:r>
            <w:r>
              <w:rPr>
                <w:rFonts w:ascii="Times New Roman;Times;Serif" w:hAnsi="Times New Roman;Times;Serif"/>
                <w:b w:val="false"/>
                <w:i w:val="false"/>
                <w:caps w:val="false"/>
                <w:smallCaps w:val="false"/>
                <w:spacing w:val="-2"/>
                <w:sz w:val="20"/>
              </w:rPr>
              <w:t>includes:</w:t>
            </w:r>
          </w:p>
        </w:tc>
      </w:tr>
    </w:tbl>
    <w:p>
      <w:pPr>
        <w:pStyle w:val="TextBody"/>
        <w:bidi w:val="0"/>
        <w:spacing w:before="0" w:after="0"/>
        <w:ind w:left="0" w:right="0" w:hanging="0"/>
        <w:jc w:val="left"/>
        <w:rPr>
          <w:caps w:val="false"/>
          <w:smallCaps w:val="false"/>
        </w:rPr>
      </w:pPr>
      <w:r>
        <w:rPr>
          <w:caps w:val="false"/>
          <w:smallCaps w:val="false"/>
        </w:rPr>
        <w:t> </w:t>
      </w:r>
    </w:p>
    <w:tbl>
      <w:tblPr>
        <w:tblW w:w="6527" w:type="dxa"/>
        <w:jc w:val="left"/>
        <w:tblInd w:w="0" w:type="dxa"/>
        <w:tblLayout w:type="fixed"/>
        <w:tblCellMar>
          <w:top w:w="0" w:type="dxa"/>
          <w:left w:w="0" w:type="dxa"/>
          <w:bottom w:w="0" w:type="dxa"/>
          <w:right w:w="0" w:type="dxa"/>
        </w:tblCellMar>
      </w:tblPr>
      <w:tblGrid>
        <w:gridCol w:w="75"/>
        <w:gridCol w:w="170"/>
        <w:gridCol w:w="6282"/>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Possible outcomes (Team A, Team B, or “No goal” in X </w:t>
            </w:r>
            <w:r>
              <w:rPr>
                <w:rFonts w:ascii="Times New Roman;Times;Serif" w:hAnsi="Times New Roman;Times;Serif"/>
                <w:b w:val="false"/>
                <w:i w:val="false"/>
                <w:caps w:val="false"/>
                <w:smallCaps w:val="false"/>
                <w:spacing w:val="-2"/>
                <w:sz w:val="20"/>
              </w:rPr>
              <w:t>minutes).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Entry Fee (if it’s paid) or “Free” if it’s a promotional </w:t>
            </w:r>
            <w:r>
              <w:rPr>
                <w:rFonts w:ascii="Times New Roman;Times;Serif" w:hAnsi="Times New Roman;Times;Serif"/>
                <w:b w:val="false"/>
                <w:i w:val="false"/>
                <w:caps w:val="false"/>
                <w:smallCaps w:val="false"/>
                <w:spacing w:val="-2"/>
                <w:sz w:val="20"/>
              </w:rPr>
              <w:t>challenge.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Potential Real-Money Prize or a share of a prize </w:t>
            </w:r>
            <w:r>
              <w:rPr>
                <w:rFonts w:ascii="Times New Roman;Times;Serif" w:hAnsi="Times New Roman;Times;Serif"/>
                <w:b w:val="false"/>
                <w:i w:val="false"/>
                <w:caps w:val="false"/>
                <w:smallCaps w:val="false"/>
                <w:spacing w:val="-2"/>
                <w:sz w:val="20"/>
              </w:rPr>
              <w:t>pool.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Time-limited: The option closes if the event is resolved or a countdown </w:t>
            </w:r>
            <w:r>
              <w:rPr>
                <w:rFonts w:ascii="Times New Roman;Times;Serif" w:hAnsi="Times New Roman;Times;Serif"/>
                <w:b w:val="false"/>
                <w:i w:val="false"/>
                <w:caps w:val="false"/>
                <w:smallCaps w:val="false"/>
                <w:spacing w:val="-2"/>
                <w:sz w:val="20"/>
              </w:rPr>
              <w:t>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7.4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Live Chat &amp; Social </w:t>
      </w:r>
      <w:r>
        <w:rPr>
          <w:rFonts w:ascii="Times New Roman;Times;Serif" w:hAnsi="Times New Roman;Times;Serif"/>
          <w:b/>
          <w:i w:val="false"/>
          <w:caps w:val="false"/>
          <w:smallCaps w:val="false"/>
          <w:spacing w:val="-2"/>
          <w:sz w:val="20"/>
        </w:rPr>
        <w:t>Integration</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2239" w:type="dxa"/>
        <w:jc w:val="left"/>
        <w:tblInd w:w="0" w:type="dxa"/>
        <w:tblLayout w:type="fixed"/>
        <w:tblCellMar>
          <w:top w:w="0" w:type="dxa"/>
          <w:left w:w="0" w:type="dxa"/>
          <w:bottom w:w="0" w:type="dxa"/>
          <w:right w:w="0" w:type="dxa"/>
        </w:tblCellMar>
      </w:tblPr>
      <w:tblGrid>
        <w:gridCol w:w="75"/>
        <w:gridCol w:w="170"/>
        <w:gridCol w:w="1994"/>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In-stream live chat </w:t>
            </w:r>
            <w:r>
              <w:rPr>
                <w:rFonts w:ascii="Times New Roman;Times;Serif" w:hAnsi="Times New Roman;Times;Serif"/>
                <w:b w:val="false"/>
                <w:i w:val="false"/>
                <w:caps w:val="false"/>
                <w:smallCaps w:val="false"/>
                <w:spacing w:val="-2"/>
                <w:sz w:val="20"/>
              </w:rPr>
              <w:t>with:</w:t>
            </w:r>
          </w:p>
        </w:tc>
      </w:tr>
    </w:tbl>
    <w:p>
      <w:pPr>
        <w:pStyle w:val="TextBody"/>
        <w:bidi w:val="0"/>
        <w:spacing w:before="0" w:after="0"/>
        <w:ind w:left="0" w:right="0" w:hanging="0"/>
        <w:jc w:val="left"/>
        <w:rPr>
          <w:caps w:val="false"/>
          <w:smallCaps w:val="false"/>
        </w:rPr>
      </w:pPr>
      <w:r>
        <w:rPr>
          <w:caps w:val="false"/>
          <w:smallCaps w:val="false"/>
        </w:rPr>
        <w:t> </w:t>
      </w:r>
    </w:p>
    <w:tbl>
      <w:tblPr>
        <w:tblW w:w="5270" w:type="dxa"/>
        <w:jc w:val="left"/>
        <w:tblInd w:w="0" w:type="dxa"/>
        <w:tblLayout w:type="fixed"/>
        <w:tblCellMar>
          <w:top w:w="0" w:type="dxa"/>
          <w:left w:w="0" w:type="dxa"/>
          <w:bottom w:w="0" w:type="dxa"/>
          <w:right w:w="0" w:type="dxa"/>
        </w:tblCellMar>
      </w:tblPr>
      <w:tblGrid>
        <w:gridCol w:w="75"/>
        <w:gridCol w:w="170"/>
        <w:gridCol w:w="50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Text messages, reactions, and </w:t>
            </w:r>
            <w:r>
              <w:rPr>
                <w:rFonts w:ascii="Times New Roman;Times;Serif" w:hAnsi="Times New Roman;Times;Serif"/>
                <w:b w:val="false"/>
                <w:i w:val="false"/>
                <w:caps w:val="false"/>
                <w:smallCaps w:val="false"/>
                <w:spacing w:val="-2"/>
                <w:sz w:val="20"/>
              </w:rPr>
              <w:t>emojis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Quick bet options (type YES/NO to participate in </w:t>
            </w:r>
            <w:r>
              <w:rPr>
                <w:rFonts w:ascii="Times New Roman;Times;Serif" w:hAnsi="Times New Roman;Times;Serif"/>
                <w:b w:val="false"/>
                <w:i w:val="false"/>
                <w:caps w:val="false"/>
                <w:smallCaps w:val="false"/>
                <w:spacing w:val="-2"/>
                <w:sz w:val="20"/>
              </w:rPr>
              <w:t>predictions)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83" w:type="dxa"/>
        <w:jc w:val="left"/>
        <w:tblInd w:w="0" w:type="dxa"/>
        <w:tblLayout w:type="fixed"/>
        <w:tblCellMar>
          <w:top w:w="0" w:type="dxa"/>
          <w:left w:w="0" w:type="dxa"/>
          <w:bottom w:w="0" w:type="dxa"/>
          <w:right w:w="0" w:type="dxa"/>
        </w:tblCellMar>
      </w:tblPr>
      <w:tblGrid>
        <w:gridCol w:w="75"/>
        <w:gridCol w:w="170"/>
        <w:gridCol w:w="4538"/>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@mentions for other </w:t>
            </w:r>
            <w:r>
              <w:rPr>
                <w:rFonts w:ascii="Times New Roman;Times;Serif" w:hAnsi="Times New Roman;Times;Serif"/>
                <w:b w:val="false"/>
                <w:i w:val="false"/>
                <w:caps w:val="false"/>
                <w:smallCaps w:val="false"/>
                <w:spacing w:val="-2"/>
                <w:sz w:val="20"/>
              </w:rPr>
              <w:t>viewers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Moderation tools to control spam and offensive </w:t>
            </w:r>
            <w:r>
              <w:rPr>
                <w:rFonts w:ascii="Times New Roman;Times;Serif" w:hAnsi="Times New Roman;Times;Serif"/>
                <w:b w:val="false"/>
                <w:i w:val="false"/>
                <w:caps w:val="false"/>
                <w:smallCaps w:val="false"/>
                <w:spacing w:val="-2"/>
                <w:sz w:val="20"/>
              </w:rPr>
              <w:t>content</w:t>
            </w:r>
          </w:p>
        </w:tc>
      </w:tr>
    </w:tbl>
    <w:p>
      <w:pPr>
        <w:pStyle w:val="TextBody"/>
        <w:bidi w:val="0"/>
        <w:spacing w:before="0" w:after="0"/>
        <w:ind w:left="0" w:right="0" w:hanging="0"/>
        <w:jc w:val="left"/>
        <w:rPr>
          <w:caps w:val="false"/>
          <w:smallCaps w:val="false"/>
        </w:rPr>
      </w:pPr>
      <w:r>
        <w:rPr>
          <w:caps w:val="false"/>
          <w:smallCaps w:val="false"/>
        </w:rPr>
        <w:t> </w:t>
      </w:r>
    </w:p>
    <w:tbl>
      <w:tblPr>
        <w:tblW w:w="2143" w:type="dxa"/>
        <w:jc w:val="left"/>
        <w:tblInd w:w="0" w:type="dxa"/>
        <w:tblLayout w:type="fixed"/>
        <w:tblCellMar>
          <w:top w:w="0" w:type="dxa"/>
          <w:left w:w="0" w:type="dxa"/>
          <w:bottom w:w="0" w:type="dxa"/>
          <w:right w:w="0" w:type="dxa"/>
        </w:tblCellMar>
      </w:tblPr>
      <w:tblGrid>
        <w:gridCol w:w="75"/>
        <w:gridCol w:w="170"/>
        <w:gridCol w:w="1898"/>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Social sharing </w:t>
            </w:r>
            <w:r>
              <w:rPr>
                <w:rFonts w:ascii="Times New Roman;Times;Serif" w:hAnsi="Times New Roman;Times;Serif"/>
                <w:b w:val="false"/>
                <w:i w:val="false"/>
                <w:caps w:val="false"/>
                <w:smallCaps w:val="false"/>
                <w:spacing w:val="-2"/>
                <w:sz w:val="20"/>
              </w:rPr>
              <w:t>options:</w:t>
            </w:r>
          </w:p>
        </w:tc>
      </w:tr>
    </w:tbl>
    <w:p>
      <w:pPr>
        <w:pStyle w:val="TextBody"/>
        <w:bidi w:val="0"/>
        <w:spacing w:before="0" w:after="0"/>
        <w:ind w:left="0" w:right="0" w:hanging="0"/>
        <w:jc w:val="left"/>
        <w:rPr>
          <w:caps w:val="false"/>
          <w:smallCaps w:val="false"/>
        </w:rPr>
      </w:pPr>
      <w:r>
        <w:rPr>
          <w:caps w:val="false"/>
          <w:smallCaps w:val="false"/>
        </w:rPr>
        <w:t> </w:t>
      </w:r>
    </w:p>
    <w:tbl>
      <w:tblPr>
        <w:tblW w:w="3928" w:type="dxa"/>
        <w:jc w:val="left"/>
        <w:tblInd w:w="0" w:type="dxa"/>
        <w:tblLayout w:type="fixed"/>
        <w:tblCellMar>
          <w:top w:w="0" w:type="dxa"/>
          <w:left w:w="0" w:type="dxa"/>
          <w:bottom w:w="0" w:type="dxa"/>
          <w:right w:w="0" w:type="dxa"/>
        </w:tblCellMar>
      </w:tblPr>
      <w:tblGrid>
        <w:gridCol w:w="75"/>
        <w:gridCol w:w="170"/>
        <w:gridCol w:w="368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Capture and share moments to </w:t>
            </w:r>
            <w:r>
              <w:rPr>
                <w:rFonts w:ascii="Times New Roman;Times;Serif" w:hAnsi="Times New Roman;Times;Serif"/>
                <w:b w:val="false"/>
                <w:i w:val="false"/>
                <w:caps w:val="false"/>
                <w:smallCaps w:val="false"/>
                <w:spacing w:val="-4"/>
                <w:sz w:val="20"/>
              </w:rPr>
              <w:t>feed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Invite friends to join the </w:t>
            </w:r>
            <w:r>
              <w:rPr>
                <w:rFonts w:ascii="Times New Roman;Times;Serif" w:hAnsi="Times New Roman;Times;Serif"/>
                <w:b w:val="false"/>
                <w:i w:val="false"/>
                <w:caps w:val="false"/>
                <w:smallCaps w:val="false"/>
                <w:spacing w:val="-2"/>
                <w:sz w:val="20"/>
              </w:rPr>
              <w:t>stream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Post predictions and results to profile or </w:t>
            </w:r>
            <w:r>
              <w:rPr>
                <w:rFonts w:ascii="Times New Roman;Times;Serif" w:hAnsi="Times New Roman;Times;Serif"/>
                <w:b w:val="false"/>
                <w:i w:val="false"/>
                <w:caps w:val="false"/>
                <w:smallCaps w:val="false"/>
                <w:spacing w:val="-4"/>
                <w:sz w:val="20"/>
              </w:rPr>
              <w:t>hubs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7.6 Highlights &amp; </w:t>
      </w:r>
      <w:r>
        <w:rPr>
          <w:rFonts w:ascii="Times New Roman;Times;Serif" w:hAnsi="Times New Roman;Times;Serif"/>
          <w:b/>
          <w:i w:val="false"/>
          <w:caps w:val="false"/>
          <w:smallCaps w:val="false"/>
          <w:spacing w:val="-2"/>
          <w:sz w:val="20"/>
        </w:rPr>
        <w:t>Replays</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4421" w:type="dxa"/>
        <w:jc w:val="left"/>
        <w:tblInd w:w="0" w:type="dxa"/>
        <w:tblLayout w:type="fixed"/>
        <w:tblCellMar>
          <w:top w:w="0" w:type="dxa"/>
          <w:left w:w="0" w:type="dxa"/>
          <w:bottom w:w="0" w:type="dxa"/>
          <w:right w:w="0" w:type="dxa"/>
        </w:tblCellMar>
      </w:tblPr>
      <w:tblGrid>
        <w:gridCol w:w="75"/>
        <w:gridCol w:w="170"/>
        <w:gridCol w:w="417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Accessible after matches or from dedicated </w:t>
            </w:r>
            <w:r>
              <w:rPr>
                <w:rFonts w:ascii="Times New Roman;Times;Serif" w:hAnsi="Times New Roman;Times;Serif"/>
                <w:b w:val="false"/>
                <w:i w:val="false"/>
                <w:caps w:val="false"/>
                <w:smallCaps w:val="false"/>
                <w:spacing w:val="-2"/>
                <w:sz w:val="20"/>
              </w:rPr>
              <w:t>sections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Cards showing recent matches’ </w:t>
            </w:r>
            <w:r>
              <w:rPr>
                <w:rFonts w:ascii="Times New Roman;Times;Serif" w:hAnsi="Times New Roman;Times;Serif"/>
                <w:b w:val="false"/>
                <w:i w:val="false"/>
                <w:caps w:val="false"/>
                <w:smallCaps w:val="false"/>
                <w:spacing w:val="-2"/>
                <w:sz w:val="20"/>
              </w:rPr>
              <w:t>highlights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Social integration allows users </w:t>
            </w:r>
            <w:r>
              <w:rPr>
                <w:rFonts w:ascii="Times New Roman;Times;Serif" w:hAnsi="Times New Roman;Times;Serif"/>
                <w:b w:val="false"/>
                <w:i w:val="false"/>
                <w:caps w:val="false"/>
                <w:smallCaps w:val="false"/>
                <w:spacing w:val="-5"/>
                <w:sz w:val="20"/>
              </w:rPr>
              <w:t>to:</w:t>
            </w:r>
          </w:p>
        </w:tc>
      </w:tr>
    </w:tbl>
    <w:p>
      <w:pPr>
        <w:pStyle w:val="TextBody"/>
        <w:bidi w:val="0"/>
        <w:spacing w:before="0" w:after="0"/>
        <w:ind w:left="0" w:right="0" w:hanging="0"/>
        <w:jc w:val="left"/>
        <w:rPr>
          <w:caps w:val="false"/>
          <w:smallCaps w:val="false"/>
        </w:rPr>
      </w:pPr>
      <w:r>
        <w:rPr>
          <w:caps w:val="false"/>
          <w:smallCaps w:val="false"/>
        </w:rPr>
        <w:t> </w:t>
      </w:r>
    </w:p>
    <w:tbl>
      <w:tblPr>
        <w:tblW w:w="2822" w:type="dxa"/>
        <w:jc w:val="left"/>
        <w:tblInd w:w="0" w:type="dxa"/>
        <w:tblLayout w:type="fixed"/>
        <w:tblCellMar>
          <w:top w:w="0" w:type="dxa"/>
          <w:left w:w="0" w:type="dxa"/>
          <w:bottom w:w="0" w:type="dxa"/>
          <w:right w:w="0" w:type="dxa"/>
        </w:tblCellMar>
      </w:tblPr>
      <w:tblGrid>
        <w:gridCol w:w="75"/>
        <w:gridCol w:w="170"/>
        <w:gridCol w:w="257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 highlights to </w:t>
            </w:r>
            <w:r>
              <w:rPr>
                <w:rFonts w:ascii="Times New Roman;Times;Serif" w:hAnsi="Times New Roman;Times;Serif"/>
                <w:b w:val="false"/>
                <w:i w:val="false"/>
                <w:caps w:val="false"/>
                <w:smallCaps w:val="false"/>
                <w:spacing w:val="-4"/>
                <w:sz w:val="20"/>
              </w:rPr>
              <w:t>feed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Comment on key </w:t>
            </w:r>
            <w:r>
              <w:rPr>
                <w:rFonts w:ascii="Times New Roman;Times;Serif" w:hAnsi="Times New Roman;Times;Serif"/>
                <w:b w:val="false"/>
                <w:i w:val="false"/>
                <w:caps w:val="false"/>
                <w:smallCaps w:val="false"/>
                <w:spacing w:val="-2"/>
                <w:sz w:val="20"/>
              </w:rPr>
              <w:t>moments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Tag friends in remarkable </w:t>
            </w:r>
            <w:r>
              <w:rPr>
                <w:rFonts w:ascii="Times New Roman;Times;Serif" w:hAnsi="Times New Roman;Times;Serif"/>
                <w:b w:val="false"/>
                <w:i w:val="false"/>
                <w:caps w:val="false"/>
                <w:smallCaps w:val="false"/>
                <w:spacing w:val="-2"/>
                <w:sz w:val="20"/>
              </w:rPr>
              <w:t>plays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Hubs &amp; </w:t>
      </w:r>
      <w:r>
        <w:rPr>
          <w:rFonts w:ascii="Times New Roman;Times;Serif" w:hAnsi="Times New Roman;Times;Serif"/>
          <w:b/>
          <w:i w:val="false"/>
          <w:caps w:val="false"/>
          <w:smallCaps w:val="false"/>
          <w:spacing w:val="-2"/>
          <w:sz w:val="20"/>
        </w:rPr>
        <w:t>Communities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Primary Focus</w:t>
      </w:r>
      <w:r>
        <w:rPr>
          <w:rFonts w:ascii="Times New Roman;Times;Serif" w:hAnsi="Times New Roman;Times;Serif"/>
          <w:b w:val="false"/>
          <w:i w:val="false"/>
          <w:caps w:val="false"/>
          <w:smallCaps w:val="false"/>
          <w:sz w:val="20"/>
        </w:rPr>
        <w:t xml:space="preserve">: Topic-focused communities that function similar to forums or specialized social </w:t>
      </w:r>
      <w:r>
        <w:rPr>
          <w:rFonts w:ascii="Times New Roman;Times;Serif" w:hAnsi="Times New Roman;Times;Serif"/>
          <w:b w:val="false"/>
          <w:i w:val="false"/>
          <w:caps w:val="false"/>
          <w:smallCaps w:val="false"/>
          <w:spacing w:val="-2"/>
          <w:sz w:val="20"/>
        </w:rPr>
        <w:t>groups.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8.1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Hub </w:t>
      </w:r>
      <w:r>
        <w:rPr>
          <w:rFonts w:ascii="Times New Roman;Times;Serif" w:hAnsi="Times New Roman;Times;Serif"/>
          <w:b/>
          <w:i w:val="false"/>
          <w:caps w:val="false"/>
          <w:smallCaps w:val="false"/>
          <w:spacing w:val="-2"/>
          <w:sz w:val="20"/>
        </w:rPr>
        <w:t>Features</w:t>
      </w:r>
    </w:p>
    <w:p>
      <w:pPr>
        <w:pStyle w:val="TextBody"/>
        <w:bidi w:val="0"/>
        <w:spacing w:before="0" w:after="0"/>
        <w:jc w:val="left"/>
        <w:rPr>
          <w:caps w:val="false"/>
          <w:smallCaps w:val="false"/>
          <w:spacing w:val="-2"/>
        </w:rPr>
      </w:pPr>
      <w:r>
        <w:rPr>
          <w:caps w:val="false"/>
          <w:smallCaps w:val="false"/>
          <w:spacing w:val="-2"/>
        </w:rPr>
        <w:t> </w:t>
      </w:r>
    </w:p>
    <w:tbl>
      <w:tblPr>
        <w:tblW w:w="2540" w:type="dxa"/>
        <w:jc w:val="left"/>
        <w:tblInd w:w="0" w:type="dxa"/>
        <w:tblLayout w:type="fixed"/>
        <w:tblCellMar>
          <w:top w:w="0" w:type="dxa"/>
          <w:left w:w="0" w:type="dxa"/>
          <w:bottom w:w="0" w:type="dxa"/>
          <w:right w:w="0" w:type="dxa"/>
        </w:tblCellMar>
      </w:tblPr>
      <w:tblGrid>
        <w:gridCol w:w="75"/>
        <w:gridCol w:w="170"/>
        <w:gridCol w:w="2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Interest-based </w:t>
            </w:r>
            <w:r>
              <w:rPr>
                <w:rFonts w:ascii="Times New Roman;Times;Serif" w:hAnsi="Times New Roman;Times;Serif"/>
                <w:b w:val="false"/>
                <w:i w:val="false"/>
                <w:caps w:val="false"/>
                <w:smallCaps w:val="false"/>
                <w:spacing w:val="-2"/>
                <w:sz w:val="20"/>
              </w:rPr>
              <w:t>communities:</w:t>
            </w:r>
          </w:p>
        </w:tc>
      </w:tr>
    </w:tbl>
    <w:p>
      <w:pPr>
        <w:pStyle w:val="TextBody"/>
        <w:bidi w:val="0"/>
        <w:spacing w:before="0" w:after="0"/>
        <w:ind w:left="0" w:right="0" w:hanging="0"/>
        <w:jc w:val="left"/>
        <w:rPr>
          <w:caps w:val="false"/>
          <w:smallCaps w:val="false"/>
        </w:rPr>
      </w:pPr>
      <w:r>
        <w:rPr>
          <w:caps w:val="false"/>
          <w:smallCaps w:val="false"/>
        </w:rPr>
        <w:t> </w:t>
      </w:r>
    </w:p>
    <w:tbl>
      <w:tblPr>
        <w:tblW w:w="5432" w:type="dxa"/>
        <w:jc w:val="left"/>
        <w:tblInd w:w="0" w:type="dxa"/>
        <w:tblLayout w:type="fixed"/>
        <w:tblCellMar>
          <w:top w:w="0" w:type="dxa"/>
          <w:left w:w="0" w:type="dxa"/>
          <w:bottom w:w="0" w:type="dxa"/>
          <w:right w:w="0" w:type="dxa"/>
        </w:tblCellMar>
      </w:tblPr>
      <w:tblGrid>
        <w:gridCol w:w="75"/>
        <w:gridCol w:w="170"/>
        <w:gridCol w:w="518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Team-specific hubs (Barcelona, Manchester United, </w:t>
            </w:r>
            <w:r>
              <w:rPr>
                <w:rFonts w:ascii="Times New Roman;Times;Serif" w:hAnsi="Times New Roman;Times;Serif"/>
                <w:b w:val="false"/>
                <w:i w:val="false"/>
                <w:caps w:val="false"/>
                <w:smallCaps w:val="false"/>
                <w:spacing w:val="-2"/>
                <w:sz w:val="20"/>
              </w:rPr>
              <w:t>etc.)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League-focused hubs (Premier League, La Liga, </w:t>
            </w:r>
            <w:r>
              <w:rPr>
                <w:rFonts w:ascii="Times New Roman;Times;Serif" w:hAnsi="Times New Roman;Times;Serif"/>
                <w:b w:val="false"/>
                <w:i w:val="false"/>
                <w:caps w:val="false"/>
                <w:smallCaps w:val="false"/>
                <w:spacing w:val="-2"/>
                <w:sz w:val="20"/>
              </w:rPr>
              <w:t>etc.)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87"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Topic-based hubs (Tactics, Transfer News, Fantasy Football, etc.)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Match-specific temporary hubs that activate around live </w:t>
            </w:r>
            <w:r>
              <w:rPr>
                <w:rFonts w:ascii="Times New Roman;Times;Serif" w:hAnsi="Times New Roman;Times;Serif"/>
                <w:b w:val="false"/>
                <w:i w:val="false"/>
                <w:caps w:val="false"/>
                <w:smallCaps w:val="false"/>
                <w:spacing w:val="-2"/>
                <w:sz w:val="20"/>
              </w:rPr>
              <w:t>games</w:t>
            </w:r>
          </w:p>
        </w:tc>
      </w:tr>
    </w:tbl>
    <w:p>
      <w:pPr>
        <w:pStyle w:val="TextBody"/>
        <w:bidi w:val="0"/>
        <w:spacing w:before="0" w:after="0"/>
        <w:ind w:left="0" w:right="0" w:hanging="0"/>
        <w:jc w:val="left"/>
        <w:rPr>
          <w:caps w:val="false"/>
          <w:smallCaps w:val="false"/>
        </w:rPr>
      </w:pPr>
      <w:r>
        <w:rPr>
          <w:caps w:val="false"/>
          <w:smallCaps w:val="false"/>
        </w:rPr>
        <w:t> </w:t>
      </w:r>
    </w:p>
    <w:tbl>
      <w:tblPr>
        <w:tblW w:w="1603" w:type="dxa"/>
        <w:jc w:val="left"/>
        <w:tblInd w:w="0" w:type="dxa"/>
        <w:tblLayout w:type="fixed"/>
        <w:tblCellMar>
          <w:top w:w="0" w:type="dxa"/>
          <w:left w:w="0" w:type="dxa"/>
          <w:bottom w:w="0" w:type="dxa"/>
          <w:right w:w="0" w:type="dxa"/>
        </w:tblCellMar>
      </w:tblPr>
      <w:tblGrid>
        <w:gridCol w:w="75"/>
        <w:gridCol w:w="170"/>
        <w:gridCol w:w="1358"/>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Privacy </w:t>
            </w:r>
            <w:r>
              <w:rPr>
                <w:rFonts w:ascii="Times New Roman;Times;Serif" w:hAnsi="Times New Roman;Times;Serif"/>
                <w:b w:val="false"/>
                <w:i w:val="false"/>
                <w:caps w:val="false"/>
                <w:smallCaps w:val="false"/>
                <w:spacing w:val="-2"/>
                <w:sz w:val="20"/>
              </w:rPr>
              <w:t>options:</w:t>
            </w:r>
          </w:p>
        </w:tc>
      </w:tr>
    </w:tbl>
    <w:p>
      <w:pPr>
        <w:pStyle w:val="TextBody"/>
        <w:bidi w:val="0"/>
        <w:spacing w:before="0" w:after="0"/>
        <w:ind w:left="0" w:right="0" w:hanging="0"/>
        <w:jc w:val="left"/>
        <w:rPr>
          <w:caps w:val="false"/>
          <w:smallCaps w:val="false"/>
        </w:rPr>
      </w:pPr>
      <w:r>
        <w:rPr>
          <w:caps w:val="false"/>
          <w:smallCaps w:val="false"/>
        </w:rPr>
        <w:t> </w:t>
      </w:r>
    </w:p>
    <w:tbl>
      <w:tblPr>
        <w:tblW w:w="4159" w:type="dxa"/>
        <w:jc w:val="left"/>
        <w:tblInd w:w="0" w:type="dxa"/>
        <w:tblLayout w:type="fixed"/>
        <w:tblCellMar>
          <w:top w:w="0" w:type="dxa"/>
          <w:left w:w="0" w:type="dxa"/>
          <w:bottom w:w="0" w:type="dxa"/>
          <w:right w:w="0" w:type="dxa"/>
        </w:tblCellMar>
      </w:tblPr>
      <w:tblGrid>
        <w:gridCol w:w="75"/>
        <w:gridCol w:w="170"/>
        <w:gridCol w:w="3914"/>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Public hubs visible to all </w:t>
            </w:r>
            <w:r>
              <w:rPr>
                <w:rFonts w:ascii="Times New Roman;Times;Serif" w:hAnsi="Times New Roman;Times;Serif"/>
                <w:b w:val="false"/>
                <w:i w:val="false"/>
                <w:caps w:val="false"/>
                <w:smallCaps w:val="false"/>
                <w:spacing w:val="-2"/>
                <w:sz w:val="20"/>
              </w:rPr>
              <w:t>users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Private hubs require approval to </w:t>
            </w:r>
            <w:r>
              <w:rPr>
                <w:rFonts w:ascii="Times New Roman;Times;Serif" w:hAnsi="Times New Roman;Times;Serif"/>
                <w:b w:val="false"/>
                <w:i w:val="false"/>
                <w:caps w:val="false"/>
                <w:smallCaps w:val="false"/>
                <w:spacing w:val="-4"/>
                <w:sz w:val="20"/>
              </w:rPr>
              <w:t>join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Unlisted hubs (discoverable only by direct </w:t>
            </w:r>
            <w:r>
              <w:rPr>
                <w:rFonts w:ascii="Times New Roman;Times;Serif" w:hAnsi="Times New Roman;Times;Serif"/>
                <w:b w:val="false"/>
                <w:i w:val="false"/>
                <w:caps w:val="false"/>
                <w:smallCaps w:val="false"/>
                <w:spacing w:val="-2"/>
                <w:sz w:val="20"/>
              </w:rPr>
              <w:t>link)</w:t>
            </w:r>
          </w:p>
        </w:tc>
      </w:tr>
    </w:tbl>
    <w:p>
      <w:pPr>
        <w:pStyle w:val="TextBody"/>
        <w:bidi w:val="0"/>
        <w:spacing w:before="0" w:after="0"/>
        <w:ind w:left="0" w:right="0" w:hanging="0"/>
        <w:jc w:val="left"/>
        <w:rPr>
          <w:caps w:val="false"/>
          <w:smallCaps w:val="false"/>
        </w:rPr>
      </w:pPr>
      <w:r>
        <w:rPr>
          <w:caps w:val="false"/>
          <w:smallCaps w:val="false"/>
        </w:rPr>
        <w:t> </w:t>
      </w:r>
    </w:p>
    <w:tbl>
      <w:tblPr>
        <w:tblW w:w="2450" w:type="dxa"/>
        <w:jc w:val="left"/>
        <w:tblInd w:w="0" w:type="dxa"/>
        <w:tblLayout w:type="fixed"/>
        <w:tblCellMar>
          <w:top w:w="0" w:type="dxa"/>
          <w:left w:w="0" w:type="dxa"/>
          <w:bottom w:w="0" w:type="dxa"/>
          <w:right w:w="0" w:type="dxa"/>
        </w:tblCellMar>
      </w:tblPr>
      <w:tblGrid>
        <w:gridCol w:w="75"/>
        <w:gridCol w:w="170"/>
        <w:gridCol w:w="2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Hub roles and </w:t>
            </w:r>
            <w:r>
              <w:rPr>
                <w:rFonts w:ascii="Times New Roman;Times;Serif" w:hAnsi="Times New Roman;Times;Serif"/>
                <w:b w:val="false"/>
                <w:i w:val="false"/>
                <w:caps w:val="false"/>
                <w:smallCaps w:val="false"/>
                <w:spacing w:val="-2"/>
                <w:sz w:val="20"/>
              </w:rPr>
              <w:t>permissions:</w:t>
            </w:r>
          </w:p>
        </w:tc>
      </w:tr>
    </w:tbl>
    <w:p>
      <w:pPr>
        <w:pStyle w:val="TextBody"/>
        <w:bidi w:val="0"/>
        <w:spacing w:before="0" w:after="0"/>
        <w:ind w:left="0" w:right="0" w:hanging="0"/>
        <w:jc w:val="left"/>
        <w:rPr>
          <w:caps w:val="false"/>
          <w:smallCaps w:val="false"/>
        </w:rPr>
      </w:pPr>
      <w:r>
        <w:rPr>
          <w:caps w:val="false"/>
          <w:smallCaps w:val="false"/>
        </w:rPr>
        <w:t> </w:t>
      </w:r>
    </w:p>
    <w:tbl>
      <w:tblPr>
        <w:tblW w:w="5107" w:type="dxa"/>
        <w:jc w:val="left"/>
        <w:tblInd w:w="0" w:type="dxa"/>
        <w:tblLayout w:type="fixed"/>
        <w:tblCellMar>
          <w:top w:w="0" w:type="dxa"/>
          <w:left w:w="0" w:type="dxa"/>
          <w:bottom w:w="0" w:type="dxa"/>
          <w:right w:w="0" w:type="dxa"/>
        </w:tblCellMar>
      </w:tblPr>
      <w:tblGrid>
        <w:gridCol w:w="75"/>
        <w:gridCol w:w="170"/>
        <w:gridCol w:w="4862"/>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Admins have full control over hub settings and </w:t>
            </w:r>
            <w:r>
              <w:rPr>
                <w:rFonts w:ascii="Times New Roman;Times;Serif" w:hAnsi="Times New Roman;Times;Serif"/>
                <w:b w:val="false"/>
                <w:i w:val="false"/>
                <w:caps w:val="false"/>
                <w:smallCaps w:val="false"/>
                <w:spacing w:val="-2"/>
                <w:sz w:val="20"/>
              </w:rPr>
              <w:t>membership</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Moderators help enforce community </w:t>
            </w:r>
            <w:r>
              <w:rPr>
                <w:rFonts w:ascii="Times New Roman;Times;Serif" w:hAnsi="Times New Roman;Times;Serif"/>
                <w:b w:val="false"/>
                <w:i w:val="false"/>
                <w:caps w:val="false"/>
                <w:smallCaps w:val="false"/>
                <w:spacing w:val="-2"/>
                <w:sz w:val="20"/>
              </w:rPr>
              <w:t>guidelines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Members have standard participation </w:t>
            </w:r>
            <w:r>
              <w:rPr>
                <w:rFonts w:ascii="Times New Roman;Times;Serif" w:hAnsi="Times New Roman;Times;Serif"/>
                <w:b w:val="false"/>
                <w:i w:val="false"/>
                <w:caps w:val="false"/>
                <w:smallCaps w:val="false"/>
                <w:spacing w:val="-2"/>
                <w:sz w:val="20"/>
              </w:rPr>
              <w:t>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8.2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Hub </w:t>
      </w:r>
      <w:r>
        <w:rPr>
          <w:rFonts w:ascii="Times New Roman;Times;Serif" w:hAnsi="Times New Roman;Times;Serif"/>
          <w:b/>
          <w:i w:val="false"/>
          <w:caps w:val="false"/>
          <w:smallCaps w:val="false"/>
          <w:spacing w:val="-2"/>
          <w:sz w:val="20"/>
        </w:rPr>
        <w:t>Content</w:t>
      </w:r>
    </w:p>
    <w:p>
      <w:pPr>
        <w:pStyle w:val="TextBody"/>
        <w:bidi w:val="0"/>
        <w:spacing w:before="0" w:after="0"/>
        <w:jc w:val="left"/>
        <w:rPr>
          <w:caps w:val="false"/>
          <w:smallCaps w:val="false"/>
          <w:spacing w:val="-2"/>
        </w:rPr>
      </w:pPr>
      <w:r>
        <w:rPr>
          <w:caps w:val="false"/>
          <w:smallCaps w:val="false"/>
          <w:spacing w:val="-2"/>
        </w:rPr>
        <w:t> </w:t>
      </w:r>
    </w:p>
    <w:tbl>
      <w:tblPr>
        <w:tblW w:w="4082" w:type="dxa"/>
        <w:jc w:val="left"/>
        <w:tblInd w:w="0" w:type="dxa"/>
        <w:tblLayout w:type="fixed"/>
        <w:tblCellMar>
          <w:top w:w="0" w:type="dxa"/>
          <w:left w:w="0" w:type="dxa"/>
          <w:bottom w:w="0" w:type="dxa"/>
          <w:right w:w="0" w:type="dxa"/>
        </w:tblCellMar>
      </w:tblPr>
      <w:tblGrid>
        <w:gridCol w:w="75"/>
        <w:gridCol w:w="170"/>
        <w:gridCol w:w="383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Specialized content types based on hub </w:t>
            </w:r>
            <w:r>
              <w:rPr>
                <w:rFonts w:ascii="Times New Roman;Times;Serif" w:hAnsi="Times New Roman;Times;Serif"/>
                <w:b w:val="false"/>
                <w:i w:val="false"/>
                <w:caps w:val="false"/>
                <w:smallCaps w:val="false"/>
                <w:spacing w:val="-2"/>
                <w:sz w:val="20"/>
              </w:rPr>
              <w:t>theme:</w:t>
            </w:r>
          </w:p>
        </w:tc>
      </w:tr>
    </w:tbl>
    <w:p>
      <w:pPr>
        <w:pStyle w:val="TextBody"/>
        <w:bidi w:val="0"/>
        <w:spacing w:before="0" w:after="0"/>
        <w:ind w:left="0" w:right="0" w:hanging="0"/>
        <w:jc w:val="left"/>
        <w:rPr>
          <w:caps w:val="false"/>
          <w:smallCaps w:val="false"/>
        </w:rPr>
      </w:pPr>
      <w:r>
        <w:rPr>
          <w:caps w:val="false"/>
          <w:smallCaps w:val="false"/>
        </w:rPr>
        <w:t> </w:t>
      </w:r>
    </w:p>
    <w:tbl>
      <w:tblPr>
        <w:tblW w:w="3701" w:type="dxa"/>
        <w:jc w:val="left"/>
        <w:tblInd w:w="0" w:type="dxa"/>
        <w:tblLayout w:type="fixed"/>
        <w:tblCellMar>
          <w:top w:w="0" w:type="dxa"/>
          <w:left w:w="0" w:type="dxa"/>
          <w:bottom w:w="0" w:type="dxa"/>
          <w:right w:w="0" w:type="dxa"/>
        </w:tblCellMar>
      </w:tblPr>
      <w:tblGrid>
        <w:gridCol w:w="75"/>
        <w:gridCol w:w="170"/>
        <w:gridCol w:w="345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Dedicated feed of hub-specific </w:t>
            </w:r>
            <w:r>
              <w:rPr>
                <w:rFonts w:ascii="Times New Roman;Times;Serif" w:hAnsi="Times New Roman;Times;Serif"/>
                <w:b w:val="false"/>
                <w:i w:val="false"/>
                <w:caps w:val="false"/>
                <w:smallCaps w:val="false"/>
                <w:spacing w:val="-2"/>
                <w:sz w:val="20"/>
              </w:rPr>
              <w:t>posts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Hub-exclusive events and </w:t>
            </w:r>
            <w:r>
              <w:rPr>
                <w:rFonts w:ascii="Times New Roman;Times;Serif" w:hAnsi="Times New Roman;Times;Serif"/>
                <w:b w:val="false"/>
                <w:i w:val="false"/>
                <w:caps w:val="false"/>
                <w:smallCaps w:val="false"/>
                <w:spacing w:val="-2"/>
                <w:sz w:val="20"/>
              </w:rPr>
              <w:t>challenges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Custom content organization and </w:t>
            </w:r>
            <w:r>
              <w:rPr>
                <w:rFonts w:ascii="Times New Roman;Times;Serif" w:hAnsi="Times New Roman;Times;Serif"/>
                <w:b w:val="false"/>
                <w:i w:val="false"/>
                <w:caps w:val="false"/>
                <w:smallCaps w:val="false"/>
                <w:spacing w:val="-2"/>
                <w:sz w:val="20"/>
              </w:rPr>
              <w:t>curation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Polls and </w:t>
            </w:r>
            <w:r>
              <w:rPr>
                <w:rFonts w:ascii="Times New Roman;Times;Serif" w:hAnsi="Times New Roman;Times;Serif"/>
                <w:b w:val="false"/>
                <w:i w:val="false"/>
                <w:caps w:val="false"/>
                <w:smallCaps w:val="false"/>
                <w:spacing w:val="-2"/>
                <w:sz w:val="20"/>
              </w:rPr>
              <w:t>discussions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00" w:type="dxa"/>
        <w:jc w:val="left"/>
        <w:tblInd w:w="0" w:type="dxa"/>
        <w:tblLayout w:type="fixed"/>
        <w:tblCellMar>
          <w:top w:w="0" w:type="dxa"/>
          <w:left w:w="0" w:type="dxa"/>
          <w:bottom w:w="0" w:type="dxa"/>
          <w:right w:w="0" w:type="dxa"/>
        </w:tblCellMar>
      </w:tblPr>
      <w:tblGrid>
        <w:gridCol w:w="75"/>
        <w:gridCol w:w="170"/>
        <w:gridCol w:w="32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Match threads for live game </w:t>
            </w:r>
            <w:r>
              <w:rPr>
                <w:rFonts w:ascii="Times New Roman;Times;Serif" w:hAnsi="Times New Roman;Times;Serif"/>
                <w:b w:val="false"/>
                <w:i w:val="false"/>
                <w:caps w:val="false"/>
                <w:smallCaps w:val="false"/>
                <w:spacing w:val="-2"/>
                <w:sz w:val="20"/>
              </w:rPr>
              <w:t>discussions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Expert analysis and fan </w:t>
            </w:r>
            <w:r>
              <w:rPr>
                <w:rFonts w:ascii="Times New Roman;Times;Serif" w:hAnsi="Times New Roman;Times;Serif"/>
                <w:b w:val="false"/>
                <w:i w:val="false"/>
                <w:caps w:val="false"/>
                <w:smallCaps w:val="false"/>
                <w:spacing w:val="-2"/>
                <w:sz w:val="20"/>
              </w:rPr>
              <w:t>theories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8.3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Hub </w:t>
      </w:r>
      <w:r>
        <w:rPr>
          <w:rFonts w:ascii="Times New Roman;Times;Serif" w:hAnsi="Times New Roman;Times;Serif"/>
          <w:b/>
          <w:i w:val="false"/>
          <w:caps w:val="false"/>
          <w:smallCaps w:val="false"/>
          <w:spacing w:val="-2"/>
          <w:sz w:val="20"/>
        </w:rPr>
        <w:t>Discovery</w:t>
      </w:r>
    </w:p>
    <w:p>
      <w:pPr>
        <w:pStyle w:val="TextBody"/>
        <w:bidi w:val="0"/>
        <w:spacing w:before="0" w:after="0"/>
        <w:jc w:val="left"/>
        <w:rPr>
          <w:caps w:val="false"/>
          <w:smallCaps w:val="false"/>
          <w:spacing w:val="-2"/>
        </w:rPr>
      </w:pPr>
      <w:r>
        <w:rPr>
          <w:caps w:val="false"/>
          <w:smallCaps w:val="false"/>
          <w:spacing w:val="-2"/>
        </w:rPr>
        <w:t> </w:t>
      </w:r>
    </w:p>
    <w:tbl>
      <w:tblPr>
        <w:tblW w:w="1502" w:type="dxa"/>
        <w:jc w:val="left"/>
        <w:tblInd w:w="0" w:type="dxa"/>
        <w:tblLayout w:type="fixed"/>
        <w:tblCellMar>
          <w:top w:w="0" w:type="dxa"/>
          <w:left w:w="0" w:type="dxa"/>
          <w:bottom w:w="0" w:type="dxa"/>
          <w:right w:w="0" w:type="dxa"/>
        </w:tblCellMar>
      </w:tblPr>
      <w:tblGrid>
        <w:gridCol w:w="75"/>
        <w:gridCol w:w="170"/>
        <w:gridCol w:w="125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2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Accessible </w:t>
            </w:r>
            <w:r>
              <w:rPr>
                <w:rFonts w:ascii="Times New Roman;Times;Serif" w:hAnsi="Times New Roman;Times;Serif"/>
                <w:b w:val="false"/>
                <w:i w:val="false"/>
                <w:caps w:val="false"/>
                <w:smallCaps w:val="false"/>
                <w:spacing w:val="-4"/>
                <w:sz w:val="20"/>
              </w:rPr>
              <w:t>via:</w:t>
            </w:r>
          </w:p>
        </w:tc>
      </w:tr>
    </w:tbl>
    <w:p>
      <w:pPr>
        <w:pStyle w:val="TextBody"/>
        <w:bidi w:val="0"/>
        <w:spacing w:before="0" w:after="0"/>
        <w:ind w:left="0" w:right="0" w:hanging="0"/>
        <w:jc w:val="left"/>
        <w:rPr>
          <w:caps w:val="false"/>
          <w:smallCaps w:val="false"/>
        </w:rPr>
      </w:pPr>
      <w:r>
        <w:rPr>
          <w:caps w:val="false"/>
          <w:smallCaps w:val="false"/>
        </w:rPr>
        <w:t> </w:t>
      </w:r>
    </w:p>
    <w:tbl>
      <w:tblPr>
        <w:tblW w:w="3639" w:type="dxa"/>
        <w:jc w:val="left"/>
        <w:tblInd w:w="0" w:type="dxa"/>
        <w:tblLayout w:type="fixed"/>
        <w:tblCellMar>
          <w:top w:w="0" w:type="dxa"/>
          <w:left w:w="0" w:type="dxa"/>
          <w:bottom w:w="0" w:type="dxa"/>
          <w:right w:w="0" w:type="dxa"/>
        </w:tblCellMar>
      </w:tblPr>
      <w:tblGrid>
        <w:gridCol w:w="75"/>
        <w:gridCol w:w="170"/>
        <w:gridCol w:w="3394"/>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Discover </w:t>
            </w:r>
            <w:r>
              <w:rPr>
                <w:rFonts w:ascii="Times New Roman;Times;Serif" w:hAnsi="Times New Roman;Times;Serif"/>
                <w:b w:val="false"/>
                <w:i w:val="false"/>
                <w:caps w:val="false"/>
                <w:smallCaps w:val="false"/>
                <w:spacing w:val="-5"/>
                <w:sz w:val="20"/>
              </w:rPr>
              <w:t>tab</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Search </w:t>
            </w:r>
            <w:r>
              <w:rPr>
                <w:rFonts w:ascii="Times New Roman;Times;Serif" w:hAnsi="Times New Roman;Times;Serif"/>
                <w:b w:val="false"/>
                <w:i w:val="false"/>
                <w:caps w:val="false"/>
                <w:smallCaps w:val="false"/>
                <w:spacing w:val="-2"/>
                <w:sz w:val="20"/>
              </w:rPr>
              <w:t>functionality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Recommendations based on user </w:t>
            </w:r>
            <w:r>
              <w:rPr>
                <w:rFonts w:ascii="Times New Roman;Times;Serif" w:hAnsi="Times New Roman;Times;Serif"/>
                <w:b w:val="false"/>
                <w:i w:val="false"/>
                <w:caps w:val="false"/>
                <w:smallCaps w:val="false"/>
                <w:spacing w:val="-2"/>
                <w:sz w:val="20"/>
              </w:rPr>
              <w:t>interests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Featured and trending hub </w:t>
            </w:r>
            <w:r>
              <w:rPr>
                <w:rFonts w:ascii="Times New Roman;Times;Serif" w:hAnsi="Times New Roman;Times;Serif"/>
                <w:b w:val="false"/>
                <w:i w:val="false"/>
                <w:caps w:val="false"/>
                <w:smallCaps w:val="false"/>
                <w:spacing w:val="-2"/>
                <w:sz w:val="20"/>
              </w:rPr>
              <w:t>highlights</w:t>
            </w:r>
          </w:p>
        </w:tc>
      </w:tr>
    </w:tbl>
    <w:p>
      <w:pPr>
        <w:pStyle w:val="TextBody"/>
        <w:bidi w:val="0"/>
        <w:spacing w:before="0" w:after="0"/>
        <w:ind w:left="0" w:right="0" w:hanging="0"/>
        <w:jc w:val="left"/>
        <w:rPr>
          <w:caps w:val="false"/>
          <w:smallCaps w:val="false"/>
        </w:rPr>
      </w:pPr>
      <w:r>
        <w:rPr>
          <w:caps w:val="false"/>
          <w:smallCaps w:val="false"/>
        </w:rPr>
        <w:t> </w:t>
      </w:r>
    </w:p>
    <w:tbl>
      <w:tblPr>
        <w:tblW w:w="1172" w:type="dxa"/>
        <w:jc w:val="left"/>
        <w:tblInd w:w="0" w:type="dxa"/>
        <w:tblLayout w:type="fixed"/>
        <w:tblCellMar>
          <w:top w:w="0" w:type="dxa"/>
          <w:left w:w="0" w:type="dxa"/>
          <w:bottom w:w="0" w:type="dxa"/>
          <w:right w:w="0" w:type="dxa"/>
        </w:tblCellMar>
      </w:tblPr>
      <w:tblGrid>
        <w:gridCol w:w="75"/>
        <w:gridCol w:w="170"/>
        <w:gridCol w:w="92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User </w:t>
            </w:r>
            <w:r>
              <w:rPr>
                <w:rFonts w:ascii="Times New Roman;Times;Serif" w:hAnsi="Times New Roman;Times;Serif"/>
                <w:b w:val="false"/>
                <w:i w:val="false"/>
                <w:caps w:val="false"/>
                <w:smallCaps w:val="false"/>
                <w:spacing w:val="-2"/>
                <w:sz w:val="20"/>
              </w:rPr>
              <w:t>flows:</w:t>
            </w:r>
          </w:p>
        </w:tc>
      </w:tr>
    </w:tbl>
    <w:p>
      <w:pPr>
        <w:pStyle w:val="TextBody"/>
        <w:bidi w:val="0"/>
        <w:spacing w:before="0" w:after="0"/>
        <w:ind w:left="0" w:right="0" w:hanging="0"/>
        <w:jc w:val="left"/>
        <w:rPr>
          <w:caps w:val="false"/>
          <w:smallCaps w:val="false"/>
        </w:rPr>
      </w:pPr>
      <w:r>
        <w:rPr>
          <w:caps w:val="false"/>
          <w:smallCaps w:val="false"/>
        </w:rPr>
        <w:t> </w:t>
      </w:r>
    </w:p>
    <w:tbl>
      <w:tblPr>
        <w:tblW w:w="5381" w:type="dxa"/>
        <w:jc w:val="left"/>
        <w:tblInd w:w="0" w:type="dxa"/>
        <w:tblLayout w:type="fixed"/>
        <w:tblCellMar>
          <w:top w:w="0" w:type="dxa"/>
          <w:left w:w="0" w:type="dxa"/>
          <w:bottom w:w="0" w:type="dxa"/>
          <w:right w:w="0" w:type="dxa"/>
        </w:tblCellMar>
      </w:tblPr>
      <w:tblGrid>
        <w:gridCol w:w="75"/>
        <w:gridCol w:w="170"/>
        <w:gridCol w:w="513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Browse featured and trending </w:t>
            </w:r>
            <w:r>
              <w:rPr>
                <w:rFonts w:ascii="Times New Roman;Times;Serif" w:hAnsi="Times New Roman;Times;Serif"/>
                <w:b w:val="false"/>
                <w:i w:val="false"/>
                <w:caps w:val="false"/>
                <w:smallCaps w:val="false"/>
                <w:spacing w:val="-4"/>
                <w:sz w:val="20"/>
              </w:rPr>
              <w:t>hubs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Search for specific interests or </w:t>
            </w:r>
            <w:r>
              <w:rPr>
                <w:rFonts w:ascii="Times New Roman;Times;Serif" w:hAnsi="Times New Roman;Times;Serif"/>
                <w:b w:val="false"/>
                <w:i w:val="false"/>
                <w:caps w:val="false"/>
                <w:smallCaps w:val="false"/>
                <w:spacing w:val="-2"/>
                <w:sz w:val="20"/>
              </w:rPr>
              <w:t>teams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Join request flow (instant for public, approval for </w:t>
            </w:r>
            <w:r>
              <w:rPr>
                <w:rFonts w:ascii="Times New Roman;Times;Serif" w:hAnsi="Times New Roman;Times;Serif"/>
                <w:b w:val="false"/>
                <w:i w:val="false"/>
                <w:caps w:val="false"/>
                <w:smallCaps w:val="false"/>
                <w:spacing w:val="-2"/>
                <w:sz w:val="20"/>
              </w:rPr>
              <w:t>private)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Recommendation engine suggests hubs based on user </w:t>
            </w:r>
            <w:r>
              <w:rPr>
                <w:rFonts w:ascii="Times New Roman;Times;Serif" w:hAnsi="Times New Roman;Times;Serif"/>
                <w:b w:val="false"/>
                <w:i w:val="false"/>
                <w:caps w:val="false"/>
                <w:smallCaps w:val="false"/>
                <w:spacing w:val="-2"/>
                <w:sz w:val="20"/>
              </w:rPr>
              <w:t>behavior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8.4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Hub </w:t>
      </w:r>
      <w:r>
        <w:rPr>
          <w:rFonts w:ascii="Times New Roman;Times;Serif" w:hAnsi="Times New Roman;Times;Serif"/>
          <w:b/>
          <w:i w:val="false"/>
          <w:caps w:val="false"/>
          <w:smallCaps w:val="false"/>
          <w:spacing w:val="-2"/>
          <w:sz w:val="20"/>
        </w:rPr>
        <w:t>Engagement</w:t>
      </w:r>
    </w:p>
    <w:p>
      <w:pPr>
        <w:pStyle w:val="TextBody"/>
        <w:bidi w:val="0"/>
        <w:spacing w:before="0" w:after="0"/>
        <w:ind w:left="0" w:right="0" w:hanging="0"/>
        <w:jc w:val="left"/>
        <w:rPr>
          <w:caps w:val="false"/>
          <w:smallCaps w:val="false"/>
          <w:spacing w:val="-2"/>
        </w:rPr>
      </w:pPr>
      <w:r>
        <w:rPr>
          <w:caps w:val="false"/>
          <w:smallCaps w:val="false"/>
          <w:spacing w:val="-2"/>
        </w:rPr>
        <w:t> </w:t>
      </w:r>
    </w:p>
    <w:tbl>
      <w:tblPr>
        <w:tblW w:w="4173" w:type="dxa"/>
        <w:jc w:val="left"/>
        <w:tblInd w:w="0" w:type="dxa"/>
        <w:tblLayout w:type="fixed"/>
        <w:tblCellMar>
          <w:top w:w="0" w:type="dxa"/>
          <w:left w:w="0" w:type="dxa"/>
          <w:bottom w:w="0" w:type="dxa"/>
          <w:right w:w="0" w:type="dxa"/>
        </w:tblCellMar>
      </w:tblPr>
      <w:tblGrid>
        <w:gridCol w:w="75"/>
        <w:gridCol w:w="170"/>
        <w:gridCol w:w="3928"/>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Activity feed showing posts from hub </w:t>
            </w:r>
            <w:r>
              <w:rPr>
                <w:rFonts w:ascii="Times New Roman;Times;Serif" w:hAnsi="Times New Roman;Times;Serif"/>
                <w:b w:val="false"/>
                <w:i w:val="false"/>
                <w:caps w:val="false"/>
                <w:smallCaps w:val="false"/>
                <w:spacing w:val="-2"/>
                <w:sz w:val="20"/>
              </w:rPr>
              <w:t>members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Discussion threads for specific </w:t>
            </w:r>
            <w:r>
              <w:rPr>
                <w:rFonts w:ascii="Times New Roman;Times;Serif" w:hAnsi="Times New Roman;Times;Serif"/>
                <w:b w:val="false"/>
                <w:i w:val="false"/>
                <w:caps w:val="false"/>
                <w:smallCaps w:val="false"/>
                <w:spacing w:val="-2"/>
                <w:sz w:val="20"/>
              </w:rPr>
              <w:t>topics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Event calendars for hub-organized </w:t>
            </w:r>
            <w:r>
              <w:rPr>
                <w:rFonts w:ascii="Times New Roman;Times;Serif" w:hAnsi="Times New Roman;Times;Serif"/>
                <w:b w:val="false"/>
                <w:i w:val="false"/>
                <w:caps w:val="false"/>
                <w:smallCaps w:val="false"/>
                <w:spacing w:val="-2"/>
                <w:sz w:val="20"/>
              </w:rPr>
              <w:t>activities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Member directory and engagement </w:t>
            </w:r>
            <w:r>
              <w:rPr>
                <w:rFonts w:ascii="Times New Roman;Times;Serif" w:hAnsi="Times New Roman;Times;Serif"/>
                <w:b w:val="false"/>
                <w:i w:val="false"/>
                <w:caps w:val="false"/>
                <w:smallCaps w:val="false"/>
                <w:spacing w:val="-2"/>
                <w:sz w:val="20"/>
              </w:rPr>
              <w:t>leaderboards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Hub-specific challenges and </w:t>
            </w:r>
            <w:r>
              <w:rPr>
                <w:rFonts w:ascii="Times New Roman;Times;Serif" w:hAnsi="Times New Roman;Times;Serif"/>
                <w:b w:val="false"/>
                <w:i w:val="false"/>
                <w:caps w:val="false"/>
                <w:smallCaps w:val="false"/>
                <w:spacing w:val="-2"/>
                <w:sz w:val="20"/>
              </w:rPr>
              <w:t>rewards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Chat </w:t>
      </w:r>
      <w:r>
        <w:rPr>
          <w:rFonts w:ascii="Times New Roman;Times;Serif" w:hAnsi="Times New Roman;Times;Serif"/>
          <w:b/>
          <w:i w:val="false"/>
          <w:caps w:val="false"/>
          <w:smallCaps w:val="false"/>
          <w:spacing w:val="-2"/>
          <w:sz w:val="20"/>
        </w:rPr>
        <w:t>Functionality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Primary Focus</w:t>
      </w:r>
      <w:r>
        <w:rPr>
          <w:rFonts w:ascii="Times New Roman;Times;Serif" w:hAnsi="Times New Roman;Times;Serif"/>
          <w:b w:val="false"/>
          <w:i w:val="false"/>
          <w:caps w:val="false"/>
          <w:smallCaps w:val="false"/>
          <w:sz w:val="20"/>
        </w:rPr>
        <w:t xml:space="preserve">: Private messaging between users and group </w:t>
      </w:r>
      <w:r>
        <w:rPr>
          <w:rFonts w:ascii="Times New Roman;Times;Serif" w:hAnsi="Times New Roman;Times;Serif"/>
          <w:b w:val="false"/>
          <w:i w:val="false"/>
          <w:caps w:val="false"/>
          <w:smallCaps w:val="false"/>
          <w:spacing w:val="-2"/>
          <w:sz w:val="20"/>
        </w:rPr>
        <w:t>conversations.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1"/>
          <w:sz w:val="20"/>
        </w:rPr>
        <w:t>9.1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One-to-One </w:t>
      </w:r>
      <w:r>
        <w:rPr>
          <w:rFonts w:ascii="Times New Roman;Times;Serif" w:hAnsi="Times New Roman;Times;Serif"/>
          <w:b/>
          <w:i w:val="false"/>
          <w:caps w:val="false"/>
          <w:smallCaps w:val="false"/>
          <w:spacing w:val="-2"/>
          <w:sz w:val="20"/>
        </w:rPr>
        <w:t>Messaging</w:t>
      </w:r>
    </w:p>
    <w:p>
      <w:pPr>
        <w:pStyle w:val="TextBody"/>
        <w:bidi w:val="0"/>
        <w:spacing w:before="0" w:after="0"/>
        <w:jc w:val="left"/>
        <w:rPr>
          <w:caps w:val="false"/>
          <w:smallCaps w:val="false"/>
          <w:spacing w:val="-2"/>
        </w:rPr>
      </w:pPr>
      <w:r>
        <w:rPr>
          <w:caps w:val="false"/>
          <w:smallCaps w:val="false"/>
          <w:spacing w:val="-2"/>
        </w:rPr>
        <w:t> </w:t>
      </w:r>
    </w:p>
    <w:tbl>
      <w:tblPr>
        <w:tblW w:w="1001" w:type="dxa"/>
        <w:jc w:val="left"/>
        <w:tblInd w:w="0" w:type="dxa"/>
        <w:tblLayout w:type="fixed"/>
        <w:tblCellMar>
          <w:top w:w="0" w:type="dxa"/>
          <w:left w:w="0" w:type="dxa"/>
          <w:bottom w:w="0" w:type="dxa"/>
          <w:right w:w="0" w:type="dxa"/>
        </w:tblCellMar>
      </w:tblPr>
      <w:tblGrid>
        <w:gridCol w:w="75"/>
        <w:gridCol w:w="170"/>
        <w:gridCol w:w="75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6"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Features:</w:t>
            </w:r>
          </w:p>
        </w:tc>
      </w:tr>
    </w:tbl>
    <w:p>
      <w:pPr>
        <w:pStyle w:val="TextBody"/>
        <w:bidi w:val="0"/>
        <w:spacing w:before="0" w:after="0"/>
        <w:ind w:left="0" w:right="0" w:hanging="0"/>
        <w:jc w:val="left"/>
        <w:rPr>
          <w:caps w:val="false"/>
          <w:smallCaps w:val="false"/>
        </w:rPr>
      </w:pPr>
      <w:r>
        <w:rPr>
          <w:caps w:val="false"/>
          <w:smallCaps w:val="false"/>
        </w:rPr>
        <w:t> </w:t>
      </w:r>
    </w:p>
    <w:tbl>
      <w:tblPr>
        <w:tblW w:w="4813" w:type="dxa"/>
        <w:jc w:val="left"/>
        <w:tblInd w:w="0" w:type="dxa"/>
        <w:tblLayout w:type="fixed"/>
        <w:tblCellMar>
          <w:top w:w="0" w:type="dxa"/>
          <w:left w:w="0" w:type="dxa"/>
          <w:bottom w:w="0" w:type="dxa"/>
          <w:right w:w="0" w:type="dxa"/>
        </w:tblCellMar>
      </w:tblPr>
      <w:tblGrid>
        <w:gridCol w:w="75"/>
        <w:gridCol w:w="170"/>
        <w:gridCol w:w="4568"/>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Private conversations between two </w:t>
            </w:r>
            <w:r>
              <w:rPr>
                <w:rFonts w:ascii="Times New Roman;Times;Serif" w:hAnsi="Times New Roman;Times;Serif"/>
                <w:b w:val="false"/>
                <w:i w:val="false"/>
                <w:caps w:val="false"/>
                <w:smallCaps w:val="false"/>
                <w:spacing w:val="-2"/>
                <w:sz w:val="20"/>
              </w:rPr>
              <w:t>users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Text-based communication with rich formatting </w:t>
            </w:r>
            <w:r>
              <w:rPr>
                <w:rFonts w:ascii="Times New Roman;Times;Serif" w:hAnsi="Times New Roman;Times;Serif"/>
                <w:b w:val="false"/>
                <w:i w:val="false"/>
                <w:caps w:val="false"/>
                <w:smallCaps w:val="false"/>
                <w:spacing w:val="-2"/>
                <w:sz w:val="20"/>
              </w:rPr>
              <w:t>options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Media sharing (photos, videos, </w:t>
            </w:r>
            <w:r>
              <w:rPr>
                <w:rFonts w:ascii="Times New Roman;Times;Serif" w:hAnsi="Times New Roman;Times;Serif"/>
                <w:b w:val="false"/>
                <w:i w:val="false"/>
                <w:caps w:val="false"/>
                <w:smallCaps w:val="false"/>
                <w:spacing w:val="-2"/>
                <w:sz w:val="20"/>
              </w:rPr>
              <w:t>files)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Read receipts and typing </w:t>
            </w:r>
            <w:r>
              <w:rPr>
                <w:rFonts w:ascii="Times New Roman;Times;Serif" w:hAnsi="Times New Roman;Times;Serif"/>
                <w:b w:val="false"/>
                <w:i w:val="false"/>
                <w:caps w:val="false"/>
                <w:smallCaps w:val="false"/>
                <w:spacing w:val="-2"/>
                <w:sz w:val="20"/>
              </w:rPr>
              <w:t>indicators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Message reactions and </w:t>
            </w:r>
            <w:r>
              <w:rPr>
                <w:rFonts w:ascii="Times New Roman;Times;Serif" w:hAnsi="Times New Roman;Times;Serif"/>
                <w:b w:val="false"/>
                <w:i w:val="false"/>
                <w:caps w:val="false"/>
                <w:smallCaps w:val="false"/>
                <w:spacing w:val="-2"/>
                <w:sz w:val="20"/>
              </w:rPr>
              <w:t>replies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Search functionality within </w:t>
            </w:r>
            <w:r>
              <w:rPr>
                <w:rFonts w:ascii="Times New Roman;Times;Serif" w:hAnsi="Times New Roman;Times;Serif"/>
                <w:b w:val="false"/>
                <w:i w:val="false"/>
                <w:caps w:val="false"/>
                <w:smallCaps w:val="false"/>
                <w:spacing w:val="-2"/>
                <w:sz w:val="20"/>
              </w:rPr>
              <w:t>conversations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Online/offline status </w:t>
            </w:r>
            <w:r>
              <w:rPr>
                <w:rFonts w:ascii="Times New Roman;Times;Serif" w:hAnsi="Times New Roman;Times;Serif"/>
                <w:b w:val="false"/>
                <w:i w:val="false"/>
                <w:caps w:val="false"/>
                <w:smallCaps w:val="false"/>
                <w:spacing w:val="-2"/>
                <w:sz w:val="20"/>
              </w:rPr>
              <w:t>indicators</w:t>
            </w:r>
          </w:p>
        </w:tc>
      </w:tr>
    </w:tbl>
    <w:p>
      <w:pPr>
        <w:pStyle w:val="TextBody"/>
        <w:bidi w:val="0"/>
        <w:spacing w:before="0" w:after="0"/>
        <w:ind w:left="0" w:right="0" w:hanging="0"/>
        <w:jc w:val="left"/>
        <w:rPr>
          <w:caps w:val="false"/>
          <w:smallCaps w:val="false"/>
        </w:rPr>
      </w:pPr>
      <w:r>
        <w:rPr>
          <w:caps w:val="false"/>
          <w:smallCaps w:val="false"/>
        </w:rPr>
        <w:t> </w:t>
      </w:r>
    </w:p>
    <w:tbl>
      <w:tblPr>
        <w:tblW w:w="1172" w:type="dxa"/>
        <w:jc w:val="left"/>
        <w:tblInd w:w="0" w:type="dxa"/>
        <w:tblLayout w:type="fixed"/>
        <w:tblCellMar>
          <w:top w:w="0" w:type="dxa"/>
          <w:left w:w="0" w:type="dxa"/>
          <w:bottom w:w="0" w:type="dxa"/>
          <w:right w:w="0" w:type="dxa"/>
        </w:tblCellMar>
      </w:tblPr>
      <w:tblGrid>
        <w:gridCol w:w="75"/>
        <w:gridCol w:w="170"/>
        <w:gridCol w:w="92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User </w:t>
            </w:r>
            <w:r>
              <w:rPr>
                <w:rFonts w:ascii="Times New Roman;Times;Serif" w:hAnsi="Times New Roman;Times;Serif"/>
                <w:b w:val="false"/>
                <w:i w:val="false"/>
                <w:caps w:val="false"/>
                <w:smallCaps w:val="false"/>
                <w:spacing w:val="-2"/>
                <w:sz w:val="20"/>
              </w:rPr>
              <w:t>flows:</w:t>
            </w:r>
          </w:p>
        </w:tc>
      </w:tr>
    </w:tbl>
    <w:p>
      <w:pPr>
        <w:pStyle w:val="TextBody"/>
        <w:bidi w:val="0"/>
        <w:spacing w:before="0" w:after="0"/>
        <w:ind w:left="0" w:right="0" w:hanging="0"/>
        <w:jc w:val="left"/>
        <w:rPr>
          <w:caps w:val="false"/>
          <w:smallCaps w:val="false"/>
        </w:rPr>
      </w:pPr>
      <w:r>
        <w:rPr>
          <w:caps w:val="false"/>
          <w:smallCaps w:val="false"/>
        </w:rPr>
        <w:t> </w:t>
      </w:r>
    </w:p>
    <w:tbl>
      <w:tblPr>
        <w:tblW w:w="6148" w:type="dxa"/>
        <w:jc w:val="left"/>
        <w:tblInd w:w="0" w:type="dxa"/>
        <w:tblLayout w:type="fixed"/>
        <w:tblCellMar>
          <w:top w:w="0" w:type="dxa"/>
          <w:left w:w="0" w:type="dxa"/>
          <w:bottom w:w="0" w:type="dxa"/>
          <w:right w:w="0" w:type="dxa"/>
        </w:tblCellMar>
      </w:tblPr>
      <w:tblGrid>
        <w:gridCol w:w="75"/>
        <w:gridCol w:w="170"/>
        <w:gridCol w:w="590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Starting a chat: Select contact → Chat history loads or new chat </w:t>
            </w:r>
            <w:r>
              <w:rPr>
                <w:rFonts w:ascii="Times New Roman;Times;Serif" w:hAnsi="Times New Roman;Times;Serif"/>
                <w:b w:val="false"/>
                <w:i w:val="false"/>
                <w:caps w:val="false"/>
                <w:smallCaps w:val="false"/>
                <w:spacing w:val="-2"/>
                <w:sz w:val="20"/>
              </w:rPr>
              <w:t>created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Media sharing: Tap attachment icon → Select media → Preview → </w:t>
            </w:r>
            <w:r>
              <w:rPr>
                <w:rFonts w:ascii="Times New Roman;Times;Serif" w:hAnsi="Times New Roman;Times;Serif"/>
                <w:b w:val="false"/>
                <w:i w:val="false"/>
                <w:caps w:val="false"/>
                <w:smallCaps w:val="false"/>
                <w:spacing w:val="-4"/>
                <w:sz w:val="20"/>
              </w:rPr>
              <w:t>Send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Contextual suggestions based on conversation </w:t>
            </w:r>
            <w:r>
              <w:rPr>
                <w:rFonts w:ascii="Times New Roman;Times;Serif" w:hAnsi="Times New Roman;Times;Serif"/>
                <w:b w:val="false"/>
                <w:i w:val="false"/>
                <w:caps w:val="false"/>
                <w:smallCaps w:val="false"/>
                <w:spacing w:val="-2"/>
                <w:sz w:val="20"/>
              </w:rPr>
              <w:t>content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9.2 </w:t>
      </w:r>
      <w:r>
        <w:rPr>
          <w:rFonts w:ascii="Times New Roman;Times;Serif" w:hAnsi="Times New Roman;Times;Serif"/>
          <w:b/>
          <w:i w:val="false"/>
          <w:caps w:val="false"/>
          <w:smallCaps w:val="false"/>
          <w:sz w:val="20"/>
        </w:rPr>
        <w:t xml:space="preserve">Group </w:t>
      </w:r>
      <w:r>
        <w:rPr>
          <w:rFonts w:ascii="Times New Roman;Times;Serif" w:hAnsi="Times New Roman;Times;Serif"/>
          <w:b/>
          <w:i w:val="false"/>
          <w:caps w:val="false"/>
          <w:smallCaps w:val="false"/>
          <w:spacing w:val="-4"/>
          <w:sz w:val="20"/>
        </w:rPr>
        <w:t>Chat</w:t>
      </w:r>
    </w:p>
    <w:p>
      <w:pPr>
        <w:pStyle w:val="TextBody"/>
        <w:bidi w:val="0"/>
        <w:spacing w:before="0" w:after="0"/>
        <w:ind w:left="0" w:right="0" w:hanging="0"/>
        <w:jc w:val="left"/>
        <w:rPr>
          <w:caps w:val="false"/>
          <w:smallCaps w:val="false"/>
        </w:rPr>
      </w:pPr>
      <w:r>
        <w:rPr>
          <w:caps w:val="false"/>
          <w:smallCaps w:val="false"/>
        </w:rPr>
        <w:t> </w:t>
      </w:r>
    </w:p>
    <w:tbl>
      <w:tblPr>
        <w:tblW w:w="1001" w:type="dxa"/>
        <w:jc w:val="left"/>
        <w:tblInd w:w="0" w:type="dxa"/>
        <w:tblLayout w:type="fixed"/>
        <w:tblCellMar>
          <w:top w:w="0" w:type="dxa"/>
          <w:left w:w="0" w:type="dxa"/>
          <w:bottom w:w="0" w:type="dxa"/>
          <w:right w:w="0" w:type="dxa"/>
        </w:tblCellMar>
      </w:tblPr>
      <w:tblGrid>
        <w:gridCol w:w="75"/>
        <w:gridCol w:w="170"/>
        <w:gridCol w:w="75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6"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Features:</w:t>
            </w:r>
          </w:p>
        </w:tc>
      </w:tr>
    </w:tbl>
    <w:p>
      <w:pPr>
        <w:pStyle w:val="TextBody"/>
        <w:bidi w:val="0"/>
        <w:spacing w:before="0" w:after="0"/>
        <w:ind w:left="0" w:right="0" w:hanging="0"/>
        <w:jc w:val="left"/>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75"/>
        <w:gridCol w:w="170"/>
        <w:gridCol w:w="3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Multi-user conversations (three or more </w:t>
            </w:r>
            <w:r>
              <w:rPr>
                <w:rFonts w:ascii="Times New Roman;Times;Serif" w:hAnsi="Times New Roman;Times;Serif"/>
                <w:spacing w:val="-2"/>
                <w:sz w:val="20"/>
              </w:rPr>
              <w:t>users)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Group creation and </w:t>
            </w:r>
            <w:r>
              <w:rPr>
                <w:rFonts w:ascii="Times New Roman;Times;Serif" w:hAnsi="Times New Roman;Times;Serif"/>
                <w:spacing w:val="-2"/>
                <w:sz w:val="20"/>
              </w:rPr>
              <w:t>management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Member permissions and roles (admin, </w:t>
            </w:r>
            <w:r>
              <w:rPr>
                <w:rFonts w:ascii="Times New Roman;Times;Serif" w:hAnsi="Times New Roman;Times;Serif"/>
                <w:spacing w:val="-2"/>
                <w:sz w:val="20"/>
              </w:rPr>
              <w:t>member)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@username mention </w:t>
            </w:r>
            <w:r>
              <w:rPr>
                <w:rFonts w:ascii="Times New Roman;Times;Serif" w:hAnsi="Times New Roman;Times;Serif"/>
                <w:spacing w:val="-2"/>
                <w:sz w:val="20"/>
              </w:rPr>
              <w:t>functionality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Group settings for </w:t>
            </w:r>
            <w:r>
              <w:rPr>
                <w:rFonts w:ascii="Times New Roman;Times;Serif" w:hAnsi="Times New Roman;Times;Serif"/>
                <w:spacing w:val="-2"/>
                <w:sz w:val="20"/>
              </w:rPr>
              <w:t>notifications</w:t>
            </w:r>
          </w:p>
        </w:tc>
      </w:tr>
    </w:tbl>
    <w:p>
      <w:pPr>
        <w:pStyle w:val="TextBody"/>
        <w:bidi w:val="0"/>
        <w:spacing w:before="0" w:after="0"/>
        <w:ind w:left="0" w:right="0" w:hanging="0"/>
        <w:jc w:val="left"/>
        <w:rPr>
          <w:caps w:val="false"/>
          <w:smallCaps w:val="false"/>
        </w:rPr>
      </w:pPr>
      <w:r>
        <w:rPr>
          <w:caps w:val="false"/>
          <w:smallCaps w:val="false"/>
        </w:rPr>
        <w:t> </w:t>
      </w:r>
    </w:p>
    <w:tbl>
      <w:tblPr>
        <w:tblW w:w="1172" w:type="dxa"/>
        <w:jc w:val="left"/>
        <w:tblInd w:w="0" w:type="dxa"/>
        <w:tblLayout w:type="fixed"/>
        <w:tblCellMar>
          <w:top w:w="0" w:type="dxa"/>
          <w:left w:w="0" w:type="dxa"/>
          <w:bottom w:w="0" w:type="dxa"/>
          <w:right w:w="0" w:type="dxa"/>
        </w:tblCellMar>
      </w:tblPr>
      <w:tblGrid>
        <w:gridCol w:w="75"/>
        <w:gridCol w:w="170"/>
        <w:gridCol w:w="92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User </w:t>
            </w:r>
            <w:r>
              <w:rPr>
                <w:rFonts w:ascii="Times New Roman;Times;Serif" w:hAnsi="Times New Roman;Times;Serif"/>
                <w:spacing w:val="-2"/>
                <w:sz w:val="20"/>
              </w:rPr>
              <w:t>flows:</w:t>
            </w:r>
          </w:p>
        </w:tc>
      </w:tr>
    </w:tbl>
    <w:p>
      <w:pPr>
        <w:pStyle w:val="TextBody"/>
        <w:bidi w:val="0"/>
        <w:spacing w:before="0" w:after="0"/>
        <w:ind w:left="0" w:right="0" w:hanging="0"/>
        <w:jc w:val="left"/>
        <w:rPr>
          <w:caps w:val="false"/>
          <w:smallCaps w:val="false"/>
        </w:rPr>
      </w:pPr>
      <w:r>
        <w:rPr>
          <w:caps w:val="false"/>
          <w:smallCaps w:val="false"/>
        </w:rPr>
        <w:t> </w:t>
      </w:r>
    </w:p>
    <w:tbl>
      <w:tblPr>
        <w:tblW w:w="7576" w:type="dxa"/>
        <w:jc w:val="left"/>
        <w:tblInd w:w="0" w:type="dxa"/>
        <w:tblLayout w:type="fixed"/>
        <w:tblCellMar>
          <w:top w:w="0" w:type="dxa"/>
          <w:left w:w="0" w:type="dxa"/>
          <w:bottom w:w="0" w:type="dxa"/>
          <w:right w:w="0" w:type="dxa"/>
        </w:tblCellMar>
      </w:tblPr>
      <w:tblGrid>
        <w:gridCol w:w="75"/>
        <w:gridCol w:w="170"/>
        <w:gridCol w:w="7331"/>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Group creation: Tap “New Group” → Add participants → Set group </w:t>
            </w:r>
            <w:r>
              <w:rPr>
                <w:rFonts w:ascii="Times New Roman;Times;Serif" w:hAnsi="Times New Roman;Times;Serif"/>
                <w:spacing w:val="-2"/>
                <w:sz w:val="20"/>
              </w:rPr>
              <w:t xml:space="preserve">name/image </w:t>
            </w:r>
            <w:r>
              <w:rPr>
                <w:rFonts w:ascii="Times New Roman;Times;Serif" w:hAnsi="Times New Roman;Times;Serif"/>
                <w:sz w:val="20"/>
              </w:rPr>
              <w:t xml:space="preserve">→ </w:t>
            </w:r>
            <w:r>
              <w:rPr>
                <w:rFonts w:ascii="Times New Roman;Times;Serif" w:hAnsi="Times New Roman;Times;Serif"/>
                <w:spacing w:val="-2"/>
                <w:sz w:val="20"/>
              </w:rPr>
              <w:t>Create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Group management: Add/remove members, assign roles, change </w:t>
            </w:r>
            <w:r>
              <w:rPr>
                <w:rFonts w:ascii="Times New Roman;Times;Serif" w:hAnsi="Times New Roman;Times;Serif"/>
                <w:spacing w:val="-2"/>
                <w:sz w:val="20"/>
              </w:rPr>
              <w:t>settings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Group interaction: Similar to regular chat with member </w:t>
            </w:r>
            <w:r>
              <w:rPr>
                <w:rFonts w:ascii="Times New Roman;Times;Serif" w:hAnsi="Times New Roman;Times;Serif"/>
                <w:spacing w:val="-2"/>
                <w:sz w:val="20"/>
              </w:rPr>
              <w:t>indicators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9.3 </w:t>
      </w:r>
      <w:r>
        <w:rPr>
          <w:rFonts w:ascii="Times New Roman;Times;Serif" w:hAnsi="Times New Roman;Times;Serif"/>
          <w:b/>
          <w:i w:val="false"/>
          <w:caps w:val="false"/>
          <w:smallCaps w:val="false"/>
          <w:sz w:val="20"/>
        </w:rPr>
        <w:t xml:space="preserve">Key Differences Between Hubs and Group </w:t>
      </w:r>
      <w:r>
        <w:rPr>
          <w:rFonts w:ascii="Times New Roman;Times;Serif" w:hAnsi="Times New Roman;Times;Serif"/>
          <w:b/>
          <w:i w:val="false"/>
          <w:caps w:val="false"/>
          <w:smallCaps w:val="false"/>
          <w:spacing w:val="-2"/>
          <w:sz w:val="20"/>
        </w:rPr>
        <w:t>Chats</w:t>
      </w:r>
    </w:p>
    <w:p>
      <w:pPr>
        <w:pStyle w:val="TextBody"/>
        <w:bidi w:val="0"/>
        <w:spacing w:before="0" w:after="0"/>
        <w:ind w:left="0" w:right="0" w:hanging="0"/>
        <w:jc w:val="left"/>
        <w:rPr>
          <w:caps w:val="false"/>
          <w:smallCaps w:val="false"/>
        </w:rPr>
      </w:pPr>
      <w:r>
        <w:rPr>
          <w:caps w:val="false"/>
          <w:smallCaps w:val="false"/>
        </w:rPr>
        <w:t> </w:t>
      </w:r>
    </w:p>
    <w:tbl>
      <w:tblPr>
        <w:tblW w:w="754" w:type="dxa"/>
        <w:jc w:val="left"/>
        <w:tblInd w:w="0" w:type="dxa"/>
        <w:tblLayout w:type="fixed"/>
        <w:tblCellMar>
          <w:top w:w="0" w:type="dxa"/>
          <w:left w:w="0" w:type="dxa"/>
          <w:bottom w:w="0" w:type="dxa"/>
          <w:right w:w="0" w:type="dxa"/>
        </w:tblCellMar>
      </w:tblPr>
      <w:tblGrid>
        <w:gridCol w:w="75"/>
        <w:gridCol w:w="170"/>
        <w:gridCol w:w="509"/>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9"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Hubs:</w:t>
            </w:r>
          </w:p>
        </w:tc>
      </w:tr>
    </w:tbl>
    <w:p>
      <w:pPr>
        <w:pStyle w:val="TextBody"/>
        <w:bidi w:val="0"/>
        <w:spacing w:before="0" w:after="0"/>
        <w:ind w:left="0" w:right="0" w:hanging="0"/>
        <w:jc w:val="left"/>
        <w:rPr>
          <w:caps w:val="false"/>
          <w:smallCaps w:val="false"/>
        </w:rPr>
      </w:pPr>
      <w:r>
        <w:rPr>
          <w:caps w:val="false"/>
          <w:smallCaps w:val="false"/>
        </w:rPr>
        <w:t> </w:t>
      </w:r>
    </w:p>
    <w:tbl>
      <w:tblPr>
        <w:tblW w:w="6358" w:type="dxa"/>
        <w:jc w:val="left"/>
        <w:tblInd w:w="0" w:type="dxa"/>
        <w:tblLayout w:type="fixed"/>
        <w:tblCellMar>
          <w:top w:w="0" w:type="dxa"/>
          <w:left w:w="0" w:type="dxa"/>
          <w:bottom w:w="0" w:type="dxa"/>
          <w:right w:w="0" w:type="dxa"/>
        </w:tblCellMar>
      </w:tblPr>
      <w:tblGrid>
        <w:gridCol w:w="75"/>
        <w:gridCol w:w="170"/>
        <w:gridCol w:w="611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Purpose: Community building around specific topics or </w:t>
            </w:r>
            <w:r>
              <w:rPr>
                <w:rFonts w:ascii="Times New Roman;Times;Serif" w:hAnsi="Times New Roman;Times;Serif"/>
                <w:spacing w:val="-2"/>
                <w:sz w:val="20"/>
              </w:rPr>
              <w:t>interests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Structure: Forum-like with content </w:t>
            </w:r>
            <w:r>
              <w:rPr>
                <w:rFonts w:ascii="Times New Roman;Times;Serif" w:hAnsi="Times New Roman;Times;Serif"/>
                <w:spacing w:val="-2"/>
                <w:sz w:val="20"/>
              </w:rPr>
              <w:t>organization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Scale: Designed for larger communities (potentially thousands of </w:t>
            </w:r>
            <w:r>
              <w:rPr>
                <w:rFonts w:ascii="Times New Roman;Times;Serif" w:hAnsi="Times New Roman;Times;Serif"/>
                <w:spacing w:val="-2"/>
                <w:sz w:val="20"/>
              </w:rPr>
              <w:t>members)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Content focus: Emphasizes content creation and </w:t>
            </w:r>
            <w:r>
              <w:rPr>
                <w:rFonts w:ascii="Times New Roman;Times;Serif" w:hAnsi="Times New Roman;Times;Serif"/>
                <w:spacing w:val="-2"/>
                <w:sz w:val="20"/>
              </w:rPr>
              <w:t>discovery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Visibility: Can be public, private, or unlisted with searchable </w:t>
            </w:r>
            <w:r>
              <w:rPr>
                <w:rFonts w:ascii="Times New Roman;Times;Serif" w:hAnsi="Times New Roman;Times;Serif"/>
                <w:spacing w:val="-2"/>
                <w:sz w:val="20"/>
              </w:rPr>
              <w:t>discovery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Example comparison: Similar to Reddit subreddits or Facebook </w:t>
            </w:r>
            <w:r>
              <w:rPr>
                <w:rFonts w:ascii="Times New Roman;Times;Serif" w:hAnsi="Times New Roman;Times;Serif"/>
                <w:spacing w:val="-2"/>
                <w:sz w:val="20"/>
              </w:rPr>
              <w:t>Groups</w:t>
            </w:r>
          </w:p>
        </w:tc>
      </w:tr>
    </w:tbl>
    <w:p>
      <w:pPr>
        <w:pStyle w:val="TextBody"/>
        <w:bidi w:val="0"/>
        <w:spacing w:before="0" w:after="0"/>
        <w:ind w:left="0" w:right="0" w:hanging="0"/>
        <w:jc w:val="left"/>
        <w:rPr>
          <w:caps w:val="false"/>
          <w:smallCaps w:val="false"/>
        </w:rPr>
      </w:pPr>
      <w:r>
        <w:rPr>
          <w:caps w:val="false"/>
          <w:smallCaps w:val="false"/>
        </w:rPr>
        <w:t> </w:t>
      </w:r>
    </w:p>
    <w:tbl>
      <w:tblPr>
        <w:tblW w:w="1352" w:type="dxa"/>
        <w:jc w:val="left"/>
        <w:tblInd w:w="0" w:type="dxa"/>
        <w:tblLayout w:type="fixed"/>
        <w:tblCellMar>
          <w:top w:w="0" w:type="dxa"/>
          <w:left w:w="0" w:type="dxa"/>
          <w:bottom w:w="0" w:type="dxa"/>
          <w:right w:w="0" w:type="dxa"/>
        </w:tblCellMar>
      </w:tblPr>
      <w:tblGrid>
        <w:gridCol w:w="75"/>
        <w:gridCol w:w="170"/>
        <w:gridCol w:w="110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Group </w:t>
            </w:r>
            <w:r>
              <w:rPr>
                <w:rFonts w:ascii="Times New Roman;Times;Serif" w:hAnsi="Times New Roman;Times;Serif"/>
                <w:spacing w:val="-2"/>
                <w:sz w:val="20"/>
              </w:rPr>
              <w:t>Chats:</w:t>
            </w:r>
          </w:p>
        </w:tc>
      </w:tr>
    </w:tbl>
    <w:p>
      <w:pPr>
        <w:pStyle w:val="TextBody"/>
        <w:bidi w:val="0"/>
        <w:spacing w:before="0" w:after="0"/>
        <w:ind w:left="0" w:right="0" w:hanging="0"/>
        <w:jc w:val="left"/>
        <w:rPr>
          <w:caps w:val="false"/>
          <w:smallCaps w:val="false"/>
        </w:rPr>
      </w:pPr>
      <w:r>
        <w:rPr>
          <w:caps w:val="false"/>
          <w:smallCaps w:val="false"/>
        </w:rPr>
        <w:t> </w:t>
      </w:r>
    </w:p>
    <w:tbl>
      <w:tblPr>
        <w:tblW w:w="6000" w:type="dxa"/>
        <w:jc w:val="left"/>
        <w:tblInd w:w="0" w:type="dxa"/>
        <w:tblLayout w:type="fixed"/>
        <w:tblCellMar>
          <w:top w:w="0" w:type="dxa"/>
          <w:left w:w="0" w:type="dxa"/>
          <w:bottom w:w="0" w:type="dxa"/>
          <w:right w:w="0" w:type="dxa"/>
        </w:tblCellMar>
      </w:tblPr>
      <w:tblGrid>
        <w:gridCol w:w="75"/>
        <w:gridCol w:w="170"/>
        <w:gridCol w:w="5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Purpose: Direct multi-person messaging for </w:t>
            </w:r>
            <w:r>
              <w:rPr>
                <w:rFonts w:ascii="Times New Roman;Times;Serif" w:hAnsi="Times New Roman;Times;Serif"/>
                <w:spacing w:val="-2"/>
                <w:sz w:val="20"/>
              </w:rPr>
              <w:t>coordination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Structure: Messaging-focused with chronological </w:t>
            </w:r>
            <w:r>
              <w:rPr>
                <w:rFonts w:ascii="Times New Roman;Times;Serif" w:hAnsi="Times New Roman;Times;Serif"/>
                <w:spacing w:val="-2"/>
                <w:sz w:val="20"/>
              </w:rPr>
              <w:t>conversation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Scale: Optimized for smaller groups (typically under 100 </w:t>
            </w:r>
            <w:r>
              <w:rPr>
                <w:rFonts w:ascii="Times New Roman;Times;Serif" w:hAnsi="Times New Roman;Times;Serif"/>
                <w:spacing w:val="-2"/>
                <w:sz w:val="20"/>
              </w:rPr>
              <w:t>members)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Content focus: Emphasizes real-time </w:t>
            </w:r>
            <w:r>
              <w:rPr>
                <w:rFonts w:ascii="Times New Roman;Times;Serif" w:hAnsi="Times New Roman;Times;Serif"/>
                <w:spacing w:val="-2"/>
                <w:sz w:val="20"/>
              </w:rPr>
              <w:t>communication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Visibility: Private by default, accessible only to invited </w:t>
            </w:r>
            <w:r>
              <w:rPr>
                <w:rFonts w:ascii="Times New Roman;Times;Serif" w:hAnsi="Times New Roman;Times;Serif"/>
                <w:spacing w:val="-2"/>
                <w:sz w:val="20"/>
              </w:rPr>
              <w:t>members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Example comparison: Similar to WhatsApp groups or Telegram </w:t>
            </w:r>
            <w:r>
              <w:rPr>
                <w:rFonts w:ascii="Times New Roman;Times;Serif" w:hAnsi="Times New Roman;Times;Serif"/>
                <w:spacing w:val="-2"/>
                <w:sz w:val="20"/>
              </w:rPr>
              <w:t>groups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10. </w:t>
      </w:r>
      <w:r>
        <w:rPr>
          <w:rFonts w:ascii="Times New Roman;Times;Serif" w:hAnsi="Times New Roman;Times;Serif"/>
          <w:b/>
          <w:i w:val="false"/>
          <w:caps w:val="false"/>
          <w:smallCaps w:val="false"/>
          <w:sz w:val="20"/>
        </w:rPr>
        <w:t xml:space="preserve">Notifications </w:t>
      </w:r>
      <w:r>
        <w:rPr>
          <w:rFonts w:ascii="Times New Roman;Times;Serif" w:hAnsi="Times New Roman;Times;Serif"/>
          <w:b/>
          <w:i w:val="false"/>
          <w:caps w:val="false"/>
          <w:smallCaps w:val="false"/>
          <w:spacing w:val="-2"/>
          <w:sz w:val="20"/>
        </w:rPr>
        <w:t>System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Primary Focus</w:t>
      </w:r>
      <w:r>
        <w:rPr>
          <w:rFonts w:ascii="Times New Roman;Times;Serif" w:hAnsi="Times New Roman;Times;Serif"/>
          <w:b w:val="false"/>
          <w:i w:val="false"/>
          <w:caps w:val="false"/>
          <w:smallCaps w:val="false"/>
          <w:sz w:val="20"/>
        </w:rPr>
        <w:t xml:space="preserve">: Keep users informed about relevant activities across the </w:t>
      </w:r>
      <w:r>
        <w:rPr>
          <w:rFonts w:ascii="Times New Roman;Times;Serif" w:hAnsi="Times New Roman;Times;Serif"/>
          <w:b w:val="false"/>
          <w:i w:val="false"/>
          <w:caps w:val="false"/>
          <w:smallCaps w:val="false"/>
          <w:spacing w:val="-2"/>
          <w:sz w:val="20"/>
        </w:rPr>
        <w:t>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10.1 </w:t>
      </w:r>
      <w:r>
        <w:rPr>
          <w:rFonts w:ascii="Times New Roman;Times;Serif" w:hAnsi="Times New Roman;Times;Serif"/>
          <w:b/>
          <w:i w:val="false"/>
          <w:caps w:val="false"/>
          <w:smallCaps w:val="false"/>
          <w:sz w:val="20"/>
        </w:rPr>
        <w:t xml:space="preserve">Notification </w:t>
      </w:r>
      <w:r>
        <w:rPr>
          <w:rFonts w:ascii="Times New Roman;Times;Serif" w:hAnsi="Times New Roman;Times;Serif"/>
          <w:b/>
          <w:i w:val="false"/>
          <w:caps w:val="false"/>
          <w:smallCaps w:val="false"/>
          <w:spacing w:val="-4"/>
          <w:sz w:val="20"/>
        </w:rPr>
        <w:t>Types</w:t>
      </w:r>
    </w:p>
    <w:p>
      <w:pPr>
        <w:pStyle w:val="TextBody"/>
        <w:bidi w:val="0"/>
        <w:spacing w:before="0" w:after="0"/>
        <w:ind w:left="0" w:right="0" w:hanging="0"/>
        <w:jc w:val="left"/>
        <w:rPr>
          <w:caps w:val="false"/>
          <w:smallCaps w:val="false"/>
        </w:rPr>
      </w:pPr>
      <w:r>
        <w:rPr>
          <w:caps w:val="false"/>
          <w:smallCaps w:val="false"/>
        </w:rPr>
        <w:t> </w:t>
      </w:r>
    </w:p>
    <w:tbl>
      <w:tblPr>
        <w:tblW w:w="1906" w:type="dxa"/>
        <w:jc w:val="left"/>
        <w:tblInd w:w="0" w:type="dxa"/>
        <w:tblLayout w:type="fixed"/>
        <w:tblCellMar>
          <w:top w:w="0" w:type="dxa"/>
          <w:left w:w="0" w:type="dxa"/>
          <w:bottom w:w="0" w:type="dxa"/>
          <w:right w:w="0" w:type="dxa"/>
        </w:tblCellMar>
      </w:tblPr>
      <w:tblGrid>
        <w:gridCol w:w="75"/>
        <w:gridCol w:w="170"/>
        <w:gridCol w:w="1661"/>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Social </w:t>
            </w:r>
            <w:r>
              <w:rPr>
                <w:rFonts w:ascii="Times New Roman;Times;Serif" w:hAnsi="Times New Roman;Times;Serif"/>
                <w:spacing w:val="-2"/>
                <w:sz w:val="20"/>
              </w:rPr>
              <w:t>notifications:</w:t>
            </w:r>
          </w:p>
        </w:tc>
      </w:tr>
    </w:tbl>
    <w:p>
      <w:pPr>
        <w:pStyle w:val="TextBody"/>
        <w:bidi w:val="0"/>
        <w:spacing w:before="0" w:after="0"/>
        <w:ind w:left="0" w:right="0" w:hanging="0"/>
        <w:jc w:val="left"/>
        <w:rPr>
          <w:caps w:val="false"/>
          <w:smallCaps w:val="false"/>
        </w:rPr>
      </w:pPr>
      <w:r>
        <w:rPr>
          <w:caps w:val="false"/>
          <w:smallCaps w:val="false"/>
        </w:rPr>
        <w:t> </w:t>
      </w:r>
    </w:p>
    <w:tbl>
      <w:tblPr>
        <w:tblW w:w="3287" w:type="dxa"/>
        <w:jc w:val="left"/>
        <w:tblInd w:w="0" w:type="dxa"/>
        <w:tblLayout w:type="fixed"/>
        <w:tblCellMar>
          <w:top w:w="0" w:type="dxa"/>
          <w:left w:w="0" w:type="dxa"/>
          <w:bottom w:w="0" w:type="dxa"/>
          <w:right w:w="0" w:type="dxa"/>
        </w:tblCellMar>
      </w:tblPr>
      <w:tblGrid>
        <w:gridCol w:w="75"/>
        <w:gridCol w:w="170"/>
        <w:gridCol w:w="3042"/>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New </w:t>
            </w:r>
            <w:r>
              <w:rPr>
                <w:rFonts w:ascii="Times New Roman;Times;Serif" w:hAnsi="Times New Roman;Times;Serif"/>
                <w:spacing w:val="-2"/>
                <w:sz w:val="20"/>
              </w:rPr>
              <w:t>followers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Likes, comments, and shares on </w:t>
            </w:r>
            <w:r>
              <w:rPr>
                <w:rFonts w:ascii="Times New Roman;Times;Serif" w:hAnsi="Times New Roman;Times;Serif"/>
                <w:spacing w:val="-2"/>
                <w:sz w:val="20"/>
              </w:rPr>
              <w:t>posts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Mentions and </w:t>
            </w:r>
            <w:r>
              <w:rPr>
                <w:rFonts w:ascii="Times New Roman;Times;Serif" w:hAnsi="Times New Roman;Times;Serif"/>
                <w:spacing w:val="-4"/>
                <w:sz w:val="20"/>
              </w:rPr>
              <w:t>tags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Hub invitations and </w:t>
            </w:r>
            <w:r>
              <w:rPr>
                <w:rFonts w:ascii="Times New Roman;Times;Serif" w:hAnsi="Times New Roman;Times;Serif"/>
                <w:spacing w:val="-2"/>
                <w:sz w:val="20"/>
              </w:rPr>
              <w:t>updates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921" w:type="dxa"/>
        <w:jc w:val="left"/>
        <w:tblInd w:w="0" w:type="dxa"/>
        <w:tblLayout w:type="fixed"/>
        <w:tblCellMar>
          <w:top w:w="0" w:type="dxa"/>
          <w:left w:w="0" w:type="dxa"/>
          <w:bottom w:w="0" w:type="dxa"/>
          <w:right w:w="0" w:type="dxa"/>
        </w:tblCellMar>
      </w:tblPr>
      <w:tblGrid>
        <w:gridCol w:w="75"/>
        <w:gridCol w:w="170"/>
        <w:gridCol w:w="167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Match </w:t>
            </w:r>
            <w:r>
              <w:rPr>
                <w:rFonts w:ascii="Times New Roman;Times;Serif" w:hAnsi="Times New Roman;Times;Serif"/>
                <w:spacing w:val="-2"/>
                <w:sz w:val="20"/>
              </w:rPr>
              <w:t>notifications:</w:t>
            </w:r>
          </w:p>
        </w:tc>
      </w:tr>
    </w:tbl>
    <w:p>
      <w:pPr>
        <w:pStyle w:val="TextBody"/>
        <w:bidi w:val="0"/>
        <w:spacing w:before="0" w:after="0"/>
        <w:ind w:left="0" w:right="0" w:hanging="0"/>
        <w:jc w:val="left"/>
        <w:rPr>
          <w:caps w:val="false"/>
          <w:smallCaps w:val="false"/>
        </w:rPr>
      </w:pPr>
      <w:r>
        <w:rPr>
          <w:caps w:val="false"/>
          <w:smallCaps w:val="false"/>
        </w:rPr>
        <w:t> </w:t>
      </w:r>
    </w:p>
    <w:tbl>
      <w:tblPr>
        <w:tblW w:w="3379" w:type="dxa"/>
        <w:jc w:val="left"/>
        <w:tblInd w:w="0" w:type="dxa"/>
        <w:tblLayout w:type="fixed"/>
        <w:tblCellMar>
          <w:top w:w="0" w:type="dxa"/>
          <w:left w:w="0" w:type="dxa"/>
          <w:bottom w:w="0" w:type="dxa"/>
          <w:right w:w="0" w:type="dxa"/>
        </w:tblCellMar>
      </w:tblPr>
      <w:tblGrid>
        <w:gridCol w:w="75"/>
        <w:gridCol w:w="170"/>
        <w:gridCol w:w="3134"/>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Upcoming matches for favorite </w:t>
            </w:r>
            <w:r>
              <w:rPr>
                <w:rFonts w:ascii="Times New Roman;Times;Serif" w:hAnsi="Times New Roman;Times;Serif"/>
                <w:spacing w:val="-2"/>
                <w:sz w:val="20"/>
              </w:rPr>
              <w:t>teams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Live match alerts (kick-off, goals, </w:t>
            </w:r>
            <w:r>
              <w:rPr>
                <w:rFonts w:ascii="Times New Roman;Times;Serif" w:hAnsi="Times New Roman;Times;Serif"/>
                <w:spacing w:val="-2"/>
                <w:sz w:val="20"/>
              </w:rPr>
              <w:t>etc.)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Match results and </w:t>
            </w:r>
            <w:r>
              <w:rPr>
                <w:rFonts w:ascii="Times New Roman;Times;Serif" w:hAnsi="Times New Roman;Times;Serif"/>
                <w:spacing w:val="-2"/>
                <w:sz w:val="20"/>
              </w:rPr>
              <w:t>highlights</w:t>
            </w:r>
          </w:p>
        </w:tc>
      </w:tr>
    </w:tbl>
    <w:p>
      <w:pPr>
        <w:pStyle w:val="TextBody"/>
        <w:bidi w:val="0"/>
        <w:spacing w:before="0" w:after="0"/>
        <w:ind w:left="0" w:right="0" w:hanging="0"/>
        <w:jc w:val="left"/>
        <w:rPr>
          <w:caps w:val="false"/>
          <w:smallCaps w:val="false"/>
        </w:rPr>
      </w:pPr>
      <w:r>
        <w:rPr>
          <w:caps w:val="false"/>
          <w:smallCaps w:val="false"/>
        </w:rPr>
        <w:t> </w:t>
      </w:r>
    </w:p>
    <w:tbl>
      <w:tblPr>
        <w:tblW w:w="2041" w:type="dxa"/>
        <w:jc w:val="left"/>
        <w:tblInd w:w="0" w:type="dxa"/>
        <w:tblLayout w:type="fixed"/>
        <w:tblCellMar>
          <w:top w:w="0" w:type="dxa"/>
          <w:left w:w="0" w:type="dxa"/>
          <w:bottom w:w="0" w:type="dxa"/>
          <w:right w:w="0" w:type="dxa"/>
        </w:tblCellMar>
      </w:tblPr>
      <w:tblGrid>
        <w:gridCol w:w="75"/>
        <w:gridCol w:w="170"/>
        <w:gridCol w:w="179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Gaming </w:t>
            </w:r>
            <w:r>
              <w:rPr>
                <w:rFonts w:ascii="Times New Roman;Times;Serif" w:hAnsi="Times New Roman;Times;Serif"/>
                <w:spacing w:val="-2"/>
                <w:sz w:val="20"/>
              </w:rPr>
              <w:t>notifications:</w:t>
            </w:r>
          </w:p>
        </w:tc>
      </w:tr>
    </w:tbl>
    <w:p>
      <w:pPr>
        <w:pStyle w:val="TextBody"/>
        <w:bidi w:val="0"/>
        <w:spacing w:before="0" w:after="0"/>
        <w:ind w:left="0" w:right="0" w:hanging="0"/>
        <w:jc w:val="left"/>
        <w:rPr>
          <w:caps w:val="false"/>
          <w:smallCaps w:val="false"/>
        </w:rPr>
      </w:pPr>
      <w:r>
        <w:rPr>
          <w:caps w:val="false"/>
          <w:smallCaps w:val="false"/>
        </w:rPr>
        <w:t> </w:t>
      </w:r>
    </w:p>
    <w:tbl>
      <w:tblPr>
        <w:tblW w:w="2158" w:type="dxa"/>
        <w:jc w:val="left"/>
        <w:tblInd w:w="0" w:type="dxa"/>
        <w:tblLayout w:type="fixed"/>
        <w:tblCellMar>
          <w:top w:w="0" w:type="dxa"/>
          <w:left w:w="0" w:type="dxa"/>
          <w:bottom w:w="0" w:type="dxa"/>
          <w:right w:w="0" w:type="dxa"/>
        </w:tblCellMar>
      </w:tblPr>
      <w:tblGrid>
        <w:gridCol w:w="75"/>
        <w:gridCol w:w="170"/>
        <w:gridCol w:w="191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RMG challenge </w:t>
            </w:r>
            <w:r>
              <w:rPr>
                <w:rFonts w:ascii="Times New Roman;Times;Serif" w:hAnsi="Times New Roman;Times;Serif"/>
                <w:spacing w:val="-2"/>
                <w:sz w:val="20"/>
              </w:rPr>
              <w:t>invites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13" w:type="dxa"/>
            <w:tcBorders/>
            <w:vAlign w:val="center"/>
          </w:tcPr>
          <w:p>
            <w:pPr>
              <w:pStyle w:val="TableContents"/>
              <w:bidi w:val="0"/>
              <w:spacing w:before="0" w:after="283"/>
              <w:jc w:val="left"/>
              <w:rPr/>
            </w:pPr>
            <w:r>
              <w:rPr>
                <w:rFonts w:ascii="Times New Roman;Times;Serif" w:hAnsi="Times New Roman;Times;Serif"/>
                <w:spacing w:val="-4"/>
                <w:sz w:val="20"/>
              </w:rPr>
              <w:t>Tournament</w:t>
            </w:r>
            <w:r>
              <w:rPr/>
              <w:t xml:space="preserve"> </w:t>
            </w:r>
            <w:r>
              <w:rPr>
                <w:rFonts w:ascii="Times New Roman;Times;Serif" w:hAnsi="Times New Roman;Times;Serif"/>
                <w:spacing w:val="-2"/>
                <w:sz w:val="20"/>
              </w:rPr>
              <w:t>reminders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Winnings and </w:t>
            </w:r>
            <w:r>
              <w:rPr>
                <w:rFonts w:ascii="Times New Roman;Times;Serif" w:hAnsi="Times New Roman;Times;Serif"/>
                <w:spacing w:val="-2"/>
                <w:sz w:val="20"/>
              </w:rPr>
              <w:t>results</w:t>
            </w:r>
          </w:p>
        </w:tc>
      </w:tr>
    </w:tbl>
    <w:p>
      <w:pPr>
        <w:pStyle w:val="TextBody"/>
        <w:bidi w:val="0"/>
        <w:spacing w:before="0" w:after="0"/>
        <w:ind w:left="0" w:right="0" w:hanging="0"/>
        <w:jc w:val="left"/>
        <w:rPr>
          <w:caps w:val="false"/>
          <w:smallCaps w:val="false"/>
        </w:rPr>
      </w:pPr>
      <w:r>
        <w:rPr>
          <w:caps w:val="false"/>
          <w:smallCaps w:val="false"/>
        </w:rPr>
        <w:t> </w:t>
      </w:r>
    </w:p>
    <w:tbl>
      <w:tblPr>
        <w:tblW w:w="1981" w:type="dxa"/>
        <w:jc w:val="left"/>
        <w:tblInd w:w="0" w:type="dxa"/>
        <w:tblLayout w:type="fixed"/>
        <w:tblCellMar>
          <w:top w:w="0" w:type="dxa"/>
          <w:left w:w="0" w:type="dxa"/>
          <w:bottom w:w="0" w:type="dxa"/>
          <w:right w:w="0" w:type="dxa"/>
        </w:tblCellMar>
      </w:tblPr>
      <w:tblGrid>
        <w:gridCol w:w="75"/>
        <w:gridCol w:w="170"/>
        <w:gridCol w:w="173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System </w:t>
            </w:r>
            <w:r>
              <w:rPr>
                <w:rFonts w:ascii="Times New Roman;Times;Serif" w:hAnsi="Times New Roman;Times;Serif"/>
                <w:spacing w:val="-2"/>
                <w:sz w:val="20"/>
              </w:rPr>
              <w:t>notifications:</w:t>
            </w:r>
          </w:p>
        </w:tc>
      </w:tr>
    </w:tbl>
    <w:p>
      <w:pPr>
        <w:pStyle w:val="TextBody"/>
        <w:bidi w:val="0"/>
        <w:spacing w:before="0" w:after="0"/>
        <w:ind w:left="0" w:right="0" w:hanging="0"/>
        <w:jc w:val="left"/>
        <w:rPr>
          <w:caps w:val="false"/>
          <w:smallCaps w:val="false"/>
        </w:rPr>
      </w:pPr>
      <w:r>
        <w:rPr>
          <w:caps w:val="false"/>
          <w:smallCaps w:val="false"/>
        </w:rPr>
        <w:t> </w:t>
      </w:r>
    </w:p>
    <w:tbl>
      <w:tblPr>
        <w:tblW w:w="2668" w:type="dxa"/>
        <w:jc w:val="left"/>
        <w:tblInd w:w="0" w:type="dxa"/>
        <w:tblLayout w:type="fixed"/>
        <w:tblCellMar>
          <w:top w:w="0" w:type="dxa"/>
          <w:left w:w="0" w:type="dxa"/>
          <w:bottom w:w="0" w:type="dxa"/>
          <w:right w:w="0" w:type="dxa"/>
        </w:tblCellMar>
      </w:tblPr>
      <w:tblGrid>
        <w:gridCol w:w="75"/>
        <w:gridCol w:w="170"/>
        <w:gridCol w:w="242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Account </w:t>
            </w:r>
            <w:r>
              <w:rPr>
                <w:rFonts w:ascii="Times New Roman;Times;Serif" w:hAnsi="Times New Roman;Times;Serif"/>
                <w:spacing w:val="-2"/>
                <w:sz w:val="20"/>
              </w:rPr>
              <w:t>updates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Wallet </w:t>
            </w:r>
            <w:r>
              <w:rPr>
                <w:rFonts w:ascii="Times New Roman;Times;Serif" w:hAnsi="Times New Roman;Times;Serif"/>
                <w:spacing w:val="-2"/>
                <w:sz w:val="20"/>
              </w:rPr>
              <w:t>activities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New features and app </w:t>
            </w:r>
            <w:r>
              <w:rPr>
                <w:rFonts w:ascii="Times New Roman;Times;Serif" w:hAnsi="Times New Roman;Times;Serif"/>
                <w:spacing w:val="-2"/>
                <w:sz w:val="20"/>
              </w:rPr>
              <w:t>updates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10.2 </w:t>
      </w:r>
      <w:r>
        <w:rPr>
          <w:rFonts w:ascii="Times New Roman;Times;Serif" w:hAnsi="Times New Roman;Times;Serif"/>
          <w:b/>
          <w:i w:val="false"/>
          <w:caps w:val="false"/>
          <w:smallCaps w:val="false"/>
          <w:sz w:val="20"/>
        </w:rPr>
        <w:t xml:space="preserve">Notification </w:t>
      </w:r>
      <w:r>
        <w:rPr>
          <w:rFonts w:ascii="Times New Roman;Times;Serif" w:hAnsi="Times New Roman;Times;Serif"/>
          <w:b/>
          <w:i w:val="false"/>
          <w:caps w:val="false"/>
          <w:smallCaps w:val="false"/>
          <w:spacing w:val="-2"/>
          <w:sz w:val="20"/>
        </w:rPr>
        <w:t>Center</w:t>
      </w:r>
    </w:p>
    <w:p>
      <w:pPr>
        <w:pStyle w:val="TextBody"/>
        <w:bidi w:val="0"/>
        <w:spacing w:before="0" w:after="0"/>
        <w:ind w:left="0" w:right="0" w:hanging="0"/>
        <w:jc w:val="left"/>
        <w:rPr>
          <w:caps w:val="false"/>
          <w:smallCaps w:val="false"/>
        </w:rPr>
      </w:pPr>
      <w:r>
        <w:rPr>
          <w:caps w:val="false"/>
          <w:smallCaps w:val="false"/>
        </w:rPr>
        <w:t> </w:t>
      </w:r>
    </w:p>
    <w:tbl>
      <w:tblPr>
        <w:tblW w:w="3829" w:type="dxa"/>
        <w:jc w:val="left"/>
        <w:tblInd w:w="0" w:type="dxa"/>
        <w:tblLayout w:type="fixed"/>
        <w:tblCellMar>
          <w:top w:w="0" w:type="dxa"/>
          <w:left w:w="0" w:type="dxa"/>
          <w:bottom w:w="0" w:type="dxa"/>
          <w:right w:w="0" w:type="dxa"/>
        </w:tblCellMar>
      </w:tblPr>
      <w:tblGrid>
        <w:gridCol w:w="75"/>
        <w:gridCol w:w="170"/>
        <w:gridCol w:w="3584"/>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Accessed via Bell Icon in top </w:t>
            </w:r>
            <w:r>
              <w:rPr>
                <w:rFonts w:ascii="Times New Roman;Times;Serif" w:hAnsi="Times New Roman;Times;Serif"/>
                <w:spacing w:val="-2"/>
                <w:sz w:val="20"/>
              </w:rPr>
              <w:t>navigation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Shows chronological list of </w:t>
            </w:r>
            <w:r>
              <w:rPr>
                <w:rFonts w:ascii="Times New Roman;Times;Serif" w:hAnsi="Times New Roman;Times;Serif"/>
                <w:spacing w:val="-2"/>
                <w:sz w:val="20"/>
              </w:rPr>
              <w:t>notifications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Categories tab to filter by notification </w:t>
            </w:r>
            <w:r>
              <w:rPr>
                <w:rFonts w:ascii="Times New Roman;Times;Serif" w:hAnsi="Times New Roman;Times;Serif"/>
                <w:spacing w:val="-4"/>
                <w:sz w:val="20"/>
              </w:rPr>
              <w:t>type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Read/Unread status </w:t>
            </w:r>
            <w:r>
              <w:rPr>
                <w:rFonts w:ascii="Times New Roman;Times;Serif" w:hAnsi="Times New Roman;Times;Serif"/>
                <w:spacing w:val="-2"/>
                <w:sz w:val="20"/>
              </w:rPr>
              <w:t>indicators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Action buttons (Accept, Decline, View, </w:t>
            </w:r>
            <w:r>
              <w:rPr>
                <w:rFonts w:ascii="Times New Roman;Times;Serif" w:hAnsi="Times New Roman;Times;Serif"/>
                <w:spacing w:val="-2"/>
                <w:sz w:val="20"/>
              </w:rPr>
              <w:t>etc.)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Mark as Read or Delete </w:t>
            </w:r>
            <w:r>
              <w:rPr>
                <w:rFonts w:ascii="Times New Roman;Times;Serif" w:hAnsi="Times New Roman;Times;Serif"/>
                <w:spacing w:val="-2"/>
                <w:sz w:val="20"/>
              </w:rPr>
              <w:t>options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10.3 </w:t>
      </w:r>
      <w:r>
        <w:rPr>
          <w:rFonts w:ascii="Times New Roman;Times;Serif" w:hAnsi="Times New Roman;Times;Serif"/>
          <w:b/>
          <w:i w:val="false"/>
          <w:caps w:val="false"/>
          <w:smallCaps w:val="false"/>
          <w:sz w:val="20"/>
        </w:rPr>
        <w:t xml:space="preserve">Notification </w:t>
      </w:r>
      <w:r>
        <w:rPr>
          <w:rFonts w:ascii="Times New Roman;Times;Serif" w:hAnsi="Times New Roman;Times;Serif"/>
          <w:b/>
          <w:i w:val="false"/>
          <w:caps w:val="false"/>
          <w:smallCaps w:val="false"/>
          <w:spacing w:val="-2"/>
          <w:sz w:val="20"/>
        </w:rPr>
        <w:t>Settings</w:t>
      </w:r>
    </w:p>
    <w:p>
      <w:pPr>
        <w:pStyle w:val="TextBody"/>
        <w:bidi w:val="0"/>
        <w:spacing w:before="0" w:after="0"/>
        <w:ind w:left="0" w:right="0" w:hanging="0"/>
        <w:jc w:val="left"/>
        <w:rPr>
          <w:caps w:val="false"/>
          <w:smallCaps w:val="false"/>
        </w:rPr>
      </w:pPr>
      <w:r>
        <w:rPr>
          <w:caps w:val="false"/>
          <w:smallCaps w:val="false"/>
        </w:rPr>
        <w:t> </w:t>
      </w:r>
    </w:p>
    <w:tbl>
      <w:tblPr>
        <w:tblW w:w="3497" w:type="dxa"/>
        <w:jc w:val="left"/>
        <w:tblInd w:w="0" w:type="dxa"/>
        <w:tblLayout w:type="fixed"/>
        <w:tblCellMar>
          <w:top w:w="0" w:type="dxa"/>
          <w:left w:w="0" w:type="dxa"/>
          <w:bottom w:w="0" w:type="dxa"/>
          <w:right w:w="0" w:type="dxa"/>
        </w:tblCellMar>
      </w:tblPr>
      <w:tblGrid>
        <w:gridCol w:w="75"/>
        <w:gridCol w:w="170"/>
        <w:gridCol w:w="3252"/>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Granular control over notification </w:t>
            </w:r>
            <w:r>
              <w:rPr>
                <w:rFonts w:ascii="Times New Roman;Times;Serif" w:hAnsi="Times New Roman;Times;Serif"/>
                <w:spacing w:val="-2"/>
                <w:sz w:val="20"/>
              </w:rPr>
              <w:t>types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Push notification </w:t>
            </w:r>
            <w:r>
              <w:rPr>
                <w:rFonts w:ascii="Times New Roman;Times;Serif" w:hAnsi="Times New Roman;Times;Serif"/>
                <w:spacing w:val="-2"/>
                <w:sz w:val="20"/>
              </w:rPr>
              <w:t>toggles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In-app notification </w:t>
            </w:r>
            <w:r>
              <w:rPr>
                <w:rFonts w:ascii="Times New Roman;Times;Serif" w:hAnsi="Times New Roman;Times;Serif"/>
                <w:spacing w:val="-2"/>
                <w:sz w:val="20"/>
              </w:rPr>
              <w:t>preferences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Email notification </w:t>
            </w:r>
            <w:r>
              <w:rPr>
                <w:rFonts w:ascii="Times New Roman;Times;Serif" w:hAnsi="Times New Roman;Times;Serif"/>
                <w:spacing w:val="-2"/>
                <w:sz w:val="20"/>
              </w:rPr>
              <w:t>options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Do Not Disturb </w:t>
            </w:r>
            <w:r>
              <w:rPr>
                <w:rFonts w:ascii="Times New Roman;Times;Serif" w:hAnsi="Times New Roman;Times;Serif"/>
                <w:spacing w:val="-2"/>
                <w:sz w:val="20"/>
              </w:rPr>
              <w:t>scheduling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11. </w:t>
      </w:r>
      <w:r>
        <w:rPr>
          <w:rFonts w:ascii="Times New Roman;Times;Serif" w:hAnsi="Times New Roman;Times;Serif"/>
          <w:b/>
          <w:i w:val="false"/>
          <w:caps w:val="false"/>
          <w:smallCaps w:val="false"/>
          <w:sz w:val="20"/>
        </w:rPr>
        <w:t xml:space="preserve">Missions &amp; </w:t>
      </w:r>
      <w:r>
        <w:rPr>
          <w:rFonts w:ascii="Times New Roman;Times;Serif" w:hAnsi="Times New Roman;Times;Serif"/>
          <w:b/>
          <w:i w:val="false"/>
          <w:caps w:val="false"/>
          <w:smallCaps w:val="false"/>
          <w:spacing w:val="-2"/>
          <w:sz w:val="20"/>
        </w:rPr>
        <w:t>Achievements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Primary Focus</w:t>
      </w:r>
      <w:r>
        <w:rPr>
          <w:rFonts w:ascii="Times New Roman;Times;Serif" w:hAnsi="Times New Roman;Times;Serif"/>
          <w:b w:val="false"/>
          <w:i w:val="false"/>
          <w:caps w:val="false"/>
          <w:smallCaps w:val="false"/>
          <w:sz w:val="20"/>
        </w:rPr>
        <w:t xml:space="preserve">: Gamification system that rewards user engagement across all </w:t>
      </w:r>
      <w:r>
        <w:rPr>
          <w:rFonts w:ascii="Times New Roman;Times;Serif" w:hAnsi="Times New Roman;Times;Serif"/>
          <w:b w:val="false"/>
          <w:i w:val="false"/>
          <w:caps w:val="false"/>
          <w:smallCaps w:val="false"/>
          <w:spacing w:val="-2"/>
          <w:sz w:val="20"/>
        </w:rPr>
        <w:t>features.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11.1 </w:t>
      </w:r>
      <w:r>
        <w:rPr>
          <w:rFonts w:ascii="Times New Roman;Times;Serif" w:hAnsi="Times New Roman;Times;Serif"/>
          <w:b/>
          <w:i w:val="false"/>
          <w:caps w:val="false"/>
          <w:smallCaps w:val="false"/>
          <w:sz w:val="20"/>
        </w:rPr>
        <w:t xml:space="preserve">Missions </w:t>
      </w:r>
      <w:r>
        <w:rPr>
          <w:rFonts w:ascii="Times New Roman;Times;Serif" w:hAnsi="Times New Roman;Times;Serif"/>
          <w:b/>
          <w:i w:val="false"/>
          <w:caps w:val="false"/>
          <w:smallCaps w:val="false"/>
          <w:spacing w:val="-2"/>
          <w:sz w:val="20"/>
        </w:rPr>
        <w:t>Screen</w:t>
      </w:r>
    </w:p>
    <w:p>
      <w:pPr>
        <w:pStyle w:val="TextBody"/>
        <w:bidi w:val="0"/>
        <w:spacing w:before="0" w:after="0"/>
        <w:ind w:left="0" w:right="0" w:hanging="0"/>
        <w:jc w:val="left"/>
        <w:rPr>
          <w:caps w:val="false"/>
          <w:smallCaps w:val="false"/>
        </w:rPr>
      </w:pPr>
      <w:r>
        <w:rPr>
          <w:caps w:val="false"/>
          <w:smallCaps w:val="false"/>
        </w:rPr>
        <w:t> </w:t>
      </w:r>
    </w:p>
    <w:tbl>
      <w:tblPr>
        <w:tblW w:w="1440" w:type="dxa"/>
        <w:jc w:val="left"/>
        <w:tblInd w:w="0" w:type="dxa"/>
        <w:tblLayout w:type="fixed"/>
        <w:tblCellMar>
          <w:top w:w="0" w:type="dxa"/>
          <w:left w:w="0" w:type="dxa"/>
          <w:bottom w:w="0" w:type="dxa"/>
          <w:right w:w="0" w:type="dxa"/>
        </w:tblCellMar>
      </w:tblPr>
      <w:tblGrid>
        <w:gridCol w:w="75"/>
        <w:gridCol w:w="170"/>
        <w:gridCol w:w="11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Access </w:t>
            </w:r>
            <w:r>
              <w:rPr>
                <w:rFonts w:ascii="Times New Roman;Times;Serif" w:hAnsi="Times New Roman;Times;Serif"/>
                <w:spacing w:val="-2"/>
                <w:sz w:val="20"/>
              </w:rPr>
              <w:t>points:</w:t>
            </w:r>
          </w:p>
        </w:tc>
      </w:tr>
    </w:tbl>
    <w:p>
      <w:pPr>
        <w:pStyle w:val="TextBody"/>
        <w:bidi w:val="0"/>
        <w:spacing w:before="0" w:after="0"/>
        <w:ind w:left="0" w:right="0" w:hanging="0"/>
        <w:jc w:val="left"/>
        <w:rPr>
          <w:caps w:val="false"/>
          <w:smallCaps w:val="false"/>
        </w:rPr>
      </w:pPr>
      <w:r>
        <w:rPr>
          <w:caps w:val="false"/>
          <w:smallCaps w:val="false"/>
        </w:rPr>
        <w:t> </w:t>
      </w:r>
    </w:p>
    <w:tbl>
      <w:tblPr>
        <w:tblW w:w="3611" w:type="dxa"/>
        <w:jc w:val="left"/>
        <w:tblInd w:w="0" w:type="dxa"/>
        <w:tblLayout w:type="fixed"/>
        <w:tblCellMar>
          <w:top w:w="0" w:type="dxa"/>
          <w:left w:w="0" w:type="dxa"/>
          <w:bottom w:w="0" w:type="dxa"/>
          <w:right w:w="0" w:type="dxa"/>
        </w:tblCellMar>
      </w:tblPr>
      <w:tblGrid>
        <w:gridCol w:w="75"/>
        <w:gridCol w:w="170"/>
        <w:gridCol w:w="336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Missions Icon in the top </w:t>
            </w:r>
            <w:r>
              <w:rPr>
                <w:rFonts w:ascii="Times New Roman;Times;Serif" w:hAnsi="Times New Roman;Times;Serif"/>
                <w:spacing w:val="-5"/>
                <w:sz w:val="20"/>
              </w:rPr>
              <w:t>nav</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Missions card on Social Feed or </w:t>
            </w:r>
            <w:r>
              <w:rPr>
                <w:rFonts w:ascii="Times New Roman;Times;Serif" w:hAnsi="Times New Roman;Times;Serif"/>
                <w:spacing w:val="-2"/>
                <w:sz w:val="20"/>
              </w:rPr>
              <w:t>Discover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Profile → “Missions &amp; </w:t>
            </w:r>
            <w:r>
              <w:rPr>
                <w:rFonts w:ascii="Times New Roman;Times;Serif" w:hAnsi="Times New Roman;Times;Serif"/>
                <w:spacing w:val="-2"/>
                <w:sz w:val="20"/>
              </w:rPr>
              <w:t>Achievements”</w:t>
            </w:r>
          </w:p>
        </w:tc>
      </w:tr>
    </w:tbl>
    <w:p>
      <w:pPr>
        <w:pStyle w:val="TextBody"/>
        <w:bidi w:val="0"/>
        <w:spacing w:before="0" w:after="0"/>
        <w:ind w:left="0" w:right="0" w:hanging="0"/>
        <w:jc w:val="left"/>
        <w:rPr>
          <w:caps w:val="false"/>
          <w:smallCaps w:val="false"/>
        </w:rPr>
      </w:pPr>
      <w:r>
        <w:rPr>
          <w:caps w:val="false"/>
          <w:smallCaps w:val="false"/>
        </w:rPr>
        <w:t> </w:t>
      </w:r>
    </w:p>
    <w:tbl>
      <w:tblPr>
        <w:tblW w:w="915" w:type="dxa"/>
        <w:jc w:val="left"/>
        <w:tblInd w:w="0" w:type="dxa"/>
        <w:tblLayout w:type="fixed"/>
        <w:tblCellMar>
          <w:top w:w="0" w:type="dxa"/>
          <w:left w:w="0" w:type="dxa"/>
          <w:bottom w:w="0" w:type="dxa"/>
          <w:right w:w="0" w:type="dxa"/>
        </w:tblCellMar>
      </w:tblPr>
      <w:tblGrid>
        <w:gridCol w:w="75"/>
        <w:gridCol w:w="170"/>
        <w:gridCol w:w="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0"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Layout:</w:t>
            </w:r>
          </w:p>
        </w:tc>
      </w:tr>
    </w:tbl>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75"/>
        <w:gridCol w:w="170"/>
        <w:gridCol w:w="8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Daily Missions: e.g., “Complete 2 Trivia Games,” “Watch 1 Live Match,” “Make 3 posts in hubs,” etc.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Weekly Missions: more extensive tasks with bigger </w:t>
            </w:r>
            <w:r>
              <w:rPr>
                <w:rFonts w:ascii="Times New Roman;Times;Serif" w:hAnsi="Times New Roman;Times;Serif"/>
                <w:spacing w:val="-2"/>
                <w:sz w:val="20"/>
              </w:rPr>
              <w:t>rewards.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Social Missions: “Invite friends,” “Engage with 5 posts,” “Create a hub post,” </w:t>
            </w:r>
            <w:r>
              <w:rPr>
                <w:rFonts w:ascii="Times New Roman;Times;Serif" w:hAnsi="Times New Roman;Times;Serif"/>
                <w:spacing w:val="-4"/>
                <w:sz w:val="20"/>
              </w:rPr>
              <w:t>etc.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Progress Bars or checklists for each </w:t>
            </w:r>
            <w:r>
              <w:rPr>
                <w:rFonts w:ascii="Times New Roman;Times;Serif" w:hAnsi="Times New Roman;Times;Serif"/>
                <w:spacing w:val="-2"/>
                <w:sz w:val="20"/>
              </w:rPr>
              <w:t>mission.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Claim Button to redeem GXR Points or other rewards once a mission is </w:t>
            </w:r>
            <w:r>
              <w:rPr>
                <w:rFonts w:ascii="Times New Roman;Times;Serif" w:hAnsi="Times New Roman;Times;Serif"/>
                <w:spacing w:val="-2"/>
                <w:sz w:val="20"/>
              </w:rPr>
              <w:t>complete.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11.2 </w:t>
      </w:r>
      <w:r>
        <w:rPr>
          <w:rFonts w:ascii="Times New Roman;Times;Serif" w:hAnsi="Times New Roman;Times;Serif"/>
          <w:b/>
          <w:i w:val="false"/>
          <w:caps w:val="false"/>
          <w:smallCaps w:val="false"/>
          <w:sz w:val="20"/>
        </w:rPr>
        <w:t xml:space="preserve">Achievements &amp; User </w:t>
      </w:r>
      <w:r>
        <w:rPr>
          <w:rFonts w:ascii="Times New Roman;Times;Serif" w:hAnsi="Times New Roman;Times;Serif"/>
          <w:b/>
          <w:i w:val="false"/>
          <w:caps w:val="false"/>
          <w:smallCaps w:val="false"/>
          <w:spacing w:val="-2"/>
          <w:sz w:val="20"/>
        </w:rPr>
        <w:t>Level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User Level: Gains experience or GXR Points for completing missions, RMG participation, daily logins, social engagement, etc.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Achievements: Milestone-based badges (“Won 10 Tournaments,” “Watched 50 Live Streams,” “Created 100 posts,” etc.).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Display:</w:t>
            </w:r>
          </w:p>
        </w:tc>
      </w:tr>
    </w:tbl>
    <w:p>
      <w:pPr>
        <w:pStyle w:val="TextBody"/>
        <w:bidi w:val="0"/>
        <w:spacing w:before="0" w:after="0"/>
        <w:ind w:left="0" w:right="0" w:hanging="0"/>
        <w:jc w:val="left"/>
        <w:rPr>
          <w:caps w:val="false"/>
          <w:smallCaps w:val="false"/>
        </w:rPr>
      </w:pPr>
      <w:r>
        <w:rPr>
          <w:caps w:val="false"/>
          <w:smallCaps w:val="false"/>
        </w:rPr>
        <w:t> </w:t>
      </w:r>
    </w:p>
    <w:tbl>
      <w:tblPr>
        <w:tblW w:w="4521" w:type="dxa"/>
        <w:jc w:val="left"/>
        <w:tblInd w:w="0" w:type="dxa"/>
        <w:tblLayout w:type="fixed"/>
        <w:tblCellMar>
          <w:top w:w="0" w:type="dxa"/>
          <w:left w:w="0" w:type="dxa"/>
          <w:bottom w:w="0" w:type="dxa"/>
          <w:right w:w="0" w:type="dxa"/>
        </w:tblCellMar>
      </w:tblPr>
      <w:tblGrid>
        <w:gridCol w:w="75"/>
        <w:gridCol w:w="170"/>
        <w:gridCol w:w="427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Shown on Profile Header (e.g., “Level 5 / 1500 </w:t>
            </w:r>
            <w:r>
              <w:rPr>
                <w:rFonts w:ascii="Times New Roman;Times;Serif" w:hAnsi="Times New Roman;Times;Serif"/>
                <w:spacing w:val="-2"/>
                <w:sz w:val="20"/>
              </w:rPr>
              <w:t>XP”).</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Separate listing of unlocked badges or </w:t>
            </w:r>
            <w:r>
              <w:rPr>
                <w:rFonts w:ascii="Times New Roman;Times;Serif" w:hAnsi="Times New Roman;Times;Serif"/>
                <w:spacing w:val="-2"/>
                <w:sz w:val="20"/>
              </w:rPr>
              <w:t>trophies.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Social integration to share achievements to </w:t>
            </w:r>
            <w:r>
              <w:rPr>
                <w:rFonts w:ascii="Times New Roman;Times;Serif" w:hAnsi="Times New Roman;Times;Serif"/>
                <w:spacing w:val="-4"/>
                <w:sz w:val="20"/>
              </w:rPr>
              <w:t>feed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11.3 </w:t>
      </w:r>
      <w:r>
        <w:rPr>
          <w:rFonts w:ascii="Times New Roman;Times;Serif" w:hAnsi="Times New Roman;Times;Serif"/>
          <w:b/>
          <w:i w:val="false"/>
          <w:caps w:val="false"/>
          <w:smallCaps w:val="false"/>
          <w:sz w:val="20"/>
        </w:rPr>
        <w:t xml:space="preserve">Rewards &amp; GXR </w:t>
      </w:r>
      <w:r>
        <w:rPr>
          <w:rFonts w:ascii="Times New Roman;Times;Serif" w:hAnsi="Times New Roman;Times;Serif"/>
          <w:b/>
          <w:i w:val="false"/>
          <w:caps w:val="false"/>
          <w:smallCaps w:val="false"/>
          <w:spacing w:val="-2"/>
          <w:sz w:val="20"/>
        </w:rPr>
        <w:t>Points</w:t>
      </w:r>
    </w:p>
    <w:p>
      <w:pPr>
        <w:pStyle w:val="TextBody"/>
        <w:bidi w:val="0"/>
        <w:spacing w:before="0" w:after="0"/>
        <w:ind w:left="0" w:right="0" w:hanging="0"/>
        <w:jc w:val="left"/>
        <w:rPr>
          <w:caps w:val="false"/>
          <w:smallCaps w:val="false"/>
        </w:rPr>
      </w:pPr>
      <w:r>
        <w:rPr>
          <w:caps w:val="false"/>
          <w:smallCaps w:val="false"/>
        </w:rPr>
        <w:t> </w:t>
      </w:r>
    </w:p>
    <w:tbl>
      <w:tblPr>
        <w:tblW w:w="2908" w:type="dxa"/>
        <w:jc w:val="left"/>
        <w:tblInd w:w="0" w:type="dxa"/>
        <w:tblLayout w:type="fixed"/>
        <w:tblCellMar>
          <w:top w:w="0" w:type="dxa"/>
          <w:left w:w="0" w:type="dxa"/>
          <w:bottom w:w="0" w:type="dxa"/>
          <w:right w:w="0" w:type="dxa"/>
        </w:tblCellMar>
      </w:tblPr>
      <w:tblGrid>
        <w:gridCol w:w="75"/>
        <w:gridCol w:w="170"/>
        <w:gridCol w:w="266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GXR Points &amp; Loyalty </w:t>
            </w:r>
            <w:r>
              <w:rPr>
                <w:rFonts w:ascii="Times New Roman;Times;Serif" w:hAnsi="Times New Roman;Times;Serif"/>
                <w:spacing w:val="-2"/>
                <w:sz w:val="20"/>
              </w:rPr>
              <w:t>Rewards: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Earned from multiple actions: watching matches, playing RMG, participating in live chat, posting in hubs, sharing content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Tiered System: Points contribute toward unlocking VIP fan tiers which offer special perks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Automatically updates in the user’s profile, top navigation, and throughout the </w:t>
            </w:r>
            <w:r>
              <w:rPr>
                <w:rFonts w:ascii="Times New Roman;Times;Serif" w:hAnsi="Times New Roman;Times;Serif"/>
                <w:spacing w:val="-4"/>
                <w:sz w:val="20"/>
              </w:rPr>
              <w:t>app</w:t>
            </w:r>
          </w:p>
        </w:tc>
      </w:tr>
    </w:tbl>
    <w:p>
      <w:pPr>
        <w:pStyle w:val="TextBody"/>
        <w:bidi w:val="0"/>
        <w:spacing w:before="0" w:after="0"/>
        <w:ind w:left="0" w:right="0" w:hanging="0"/>
        <w:jc w:val="left"/>
        <w:rPr>
          <w:caps w:val="false"/>
          <w:smallCaps w:val="false"/>
        </w:rPr>
      </w:pPr>
      <w:r>
        <w:rPr>
          <w:caps w:val="false"/>
          <w:smallCaps w:val="false"/>
        </w:rPr>
        <w:t> </w:t>
      </w:r>
    </w:p>
    <w:tbl>
      <w:tblPr>
        <w:tblW w:w="1912" w:type="dxa"/>
        <w:jc w:val="left"/>
        <w:tblInd w:w="0" w:type="dxa"/>
        <w:tblLayout w:type="fixed"/>
        <w:tblCellMar>
          <w:top w:w="0" w:type="dxa"/>
          <w:left w:w="0" w:type="dxa"/>
          <w:bottom w:w="0" w:type="dxa"/>
          <w:right w:w="0" w:type="dxa"/>
        </w:tblCellMar>
      </w:tblPr>
      <w:tblGrid>
        <w:gridCol w:w="75"/>
        <w:gridCol w:w="170"/>
        <w:gridCol w:w="166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Reward </w:t>
            </w:r>
            <w:r>
              <w:rPr>
                <w:rFonts w:ascii="Times New Roman;Times;Serif" w:hAnsi="Times New Roman;Times;Serif"/>
                <w:spacing w:val="-2"/>
                <w:sz w:val="20"/>
              </w:rPr>
              <w:t>redemption:</w:t>
            </w:r>
          </w:p>
        </w:tc>
      </w:tr>
    </w:tbl>
    <w:p>
      <w:pPr>
        <w:pStyle w:val="TextBody"/>
        <w:bidi w:val="0"/>
        <w:spacing w:before="0" w:after="0"/>
        <w:ind w:left="0" w:right="0" w:hanging="0"/>
        <w:jc w:val="left"/>
        <w:rPr>
          <w:caps w:val="false"/>
          <w:smallCaps w:val="false"/>
        </w:rPr>
      </w:pPr>
      <w:r>
        <w:rPr>
          <w:caps w:val="false"/>
          <w:smallCaps w:val="false"/>
        </w:rPr>
        <w:t> </w:t>
      </w:r>
    </w:p>
    <w:tbl>
      <w:tblPr>
        <w:tblW w:w="3161" w:type="dxa"/>
        <w:jc w:val="left"/>
        <w:tblInd w:w="0" w:type="dxa"/>
        <w:tblLayout w:type="fixed"/>
        <w:tblCellMar>
          <w:top w:w="0" w:type="dxa"/>
          <w:left w:w="0" w:type="dxa"/>
          <w:bottom w:w="0" w:type="dxa"/>
          <w:right w:w="0" w:type="dxa"/>
        </w:tblCellMar>
      </w:tblPr>
      <w:tblGrid>
        <w:gridCol w:w="75"/>
        <w:gridCol w:w="170"/>
        <w:gridCol w:w="291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Exchange points for in-app </w:t>
            </w:r>
            <w:r>
              <w:rPr>
                <w:rFonts w:ascii="Times New Roman;Times;Serif" w:hAnsi="Times New Roman;Times;Serif"/>
                <w:spacing w:val="-2"/>
                <w:sz w:val="20"/>
              </w:rPr>
              <w:t>benefits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Unlock premium </w:t>
            </w:r>
            <w:r>
              <w:rPr>
                <w:rFonts w:ascii="Times New Roman;Times;Serif" w:hAnsi="Times New Roman;Times;Serif"/>
                <w:spacing w:val="-2"/>
                <w:sz w:val="20"/>
              </w:rPr>
              <w:t>features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Enter special </w:t>
            </w:r>
            <w:r>
              <w:rPr>
                <w:rFonts w:ascii="Times New Roman;Times;Serif" w:hAnsi="Times New Roman;Times;Serif"/>
                <w:spacing w:val="-2"/>
                <w:sz w:val="20"/>
              </w:rPr>
              <w:t>tournaments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Get discounts on RMG entry </w:t>
            </w:r>
            <w:r>
              <w:rPr>
                <w:rFonts w:ascii="Times New Roman;Times;Serif" w:hAnsi="Times New Roman;Times;Serif"/>
                <w:spacing w:val="-4"/>
                <w:sz w:val="20"/>
              </w:rPr>
              <w:t>fees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Integration Plan for Specter and Galaxy Racer Platform</w:t>
      </w:r>
    </w:p>
    <w:p>
      <w:pPr>
        <w:pStyle w:val="TextBody"/>
        <w:bidi w:val="0"/>
        <w:spacing w:before="0" w:after="0"/>
        <w:ind w:left="0" w:right="0" w:hanging="0"/>
        <w:jc w:val="left"/>
        <w:rPr>
          <w:caps w:val="false"/>
          <w:smallCaps w:val="false"/>
        </w:rPr>
      </w:pPr>
      <w:r>
        <w:rPr>
          <w:caps w:val="false"/>
          <w:smallCaps w:val="false"/>
        </w:rPr>
        <w:t> </w:t>
      </w:r>
    </w:p>
    <w:tbl>
      <w:tblPr>
        <w:tblW w:w="6465" w:type="dxa"/>
        <w:jc w:val="left"/>
        <w:tblInd w:w="0" w:type="dxa"/>
        <w:tblLayout w:type="fixed"/>
        <w:tblCellMar>
          <w:top w:w="0" w:type="dxa"/>
          <w:left w:w="0" w:type="dxa"/>
          <w:bottom w:w="0" w:type="dxa"/>
          <w:right w:w="0" w:type="dxa"/>
        </w:tblCellMar>
      </w:tblPr>
      <w:tblGrid>
        <w:gridCol w:w="75"/>
        <w:gridCol w:w="6390"/>
      </w:tblGrid>
      <w:tr>
        <w:trPr/>
        <w:tc>
          <w:tcPr>
            <w:tcW w:w="6465" w:type="dxa"/>
            <w:gridSpan w:val="2"/>
            <w:tcBorders/>
            <w:shd w:fill="CCEEFF" w:val="clear"/>
            <w:vAlign w:val="center"/>
          </w:tcPr>
          <w:p>
            <w:pPr>
              <w:pStyle w:val="TableContents"/>
              <w:bidi w:val="0"/>
              <w:spacing w:before="0" w:after="283"/>
              <w:jc w:val="left"/>
              <w:rPr/>
            </w:pPr>
            <w:r>
              <w:rPr>
                <w:rFonts w:ascii="Times New Roman;Times;Serif" w:hAnsi="Times New Roman;Times;Serif"/>
                <w:spacing w:val="-1"/>
                <w:sz w:val="20"/>
              </w:rPr>
              <w:t>1.</w:t>
            </w:r>
            <w:r>
              <w:rPr/>
              <w:t xml:space="preserve"> </w:t>
            </w:r>
            <w:r>
              <w:rPr>
                <w:rFonts w:ascii="Times New Roman;Times;Serif" w:hAnsi="Times New Roman;Times;Serif"/>
                <w:sz w:val="20"/>
              </w:rPr>
              <w:t xml:space="preserve">Executive </w:t>
            </w:r>
            <w:r>
              <w:rPr>
                <w:rFonts w:ascii="Times New Roman;Times;Serif" w:hAnsi="Times New Roman;Times;Serif"/>
                <w:spacing w:val="-2"/>
                <w:sz w:val="20"/>
              </w:rPr>
              <w:t>Summary</w:t>
            </w:r>
          </w:p>
        </w:tc>
      </w:tr>
      <w:tr>
        <w:trPr/>
        <w:tc>
          <w:tcPr>
            <w:tcW w:w="75" w:type="dxa"/>
            <w:tcBorders/>
            <w:shd w:fill="FFFFFF" w:val="clear"/>
            <w:vAlign w:val="center"/>
          </w:tcPr>
          <w:p>
            <w:pPr>
              <w:pStyle w:val="TableContents"/>
              <w:bidi w:val="0"/>
              <w:spacing w:before="0" w:after="283"/>
              <w:jc w:val="left"/>
              <w:rPr/>
            </w:pPr>
            <w:r>
              <w:rPr/>
              <w:t> </w:t>
            </w:r>
          </w:p>
        </w:tc>
        <w:tc>
          <w:tcPr>
            <w:tcW w:w="63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Brief Overview of the Integration Goals Key Features of the Integration</w:t>
            </w:r>
          </w:p>
        </w:tc>
      </w:tr>
      <w:tr>
        <w:trPr/>
        <w:tc>
          <w:tcPr>
            <w:tcW w:w="75" w:type="dxa"/>
            <w:tcBorders/>
            <w:shd w:fill="CCEEFF" w:val="clear"/>
            <w:vAlign w:val="center"/>
          </w:tcPr>
          <w:p>
            <w:pPr>
              <w:pStyle w:val="TableContents"/>
              <w:bidi w:val="0"/>
              <w:spacing w:before="0" w:after="283"/>
              <w:jc w:val="left"/>
              <w:rPr/>
            </w:pPr>
            <w:r>
              <w:rPr/>
              <w:t> </w:t>
            </w:r>
          </w:p>
        </w:tc>
        <w:tc>
          <w:tcPr>
            <w:tcW w:w="6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Value Proposition for GXR </w:t>
            </w:r>
            <w:r>
              <w:rPr>
                <w:rFonts w:ascii="Times New Roman;Times;Serif" w:hAnsi="Times New Roman;Times;Serif"/>
                <w:spacing w:val="-2"/>
                <w:sz w:val="20"/>
              </w:rPr>
              <w:t>Users</w:t>
            </w:r>
          </w:p>
        </w:tc>
      </w:tr>
      <w:tr>
        <w:trPr/>
        <w:tc>
          <w:tcPr>
            <w:tcW w:w="6465" w:type="dxa"/>
            <w:gridSpan w:val="2"/>
            <w:tcBorders/>
            <w:shd w:fill="FFFFFF" w:val="clear"/>
            <w:vAlign w:val="center"/>
          </w:tcPr>
          <w:p>
            <w:pPr>
              <w:pStyle w:val="TableContents"/>
              <w:bidi w:val="0"/>
              <w:spacing w:before="0" w:after="283"/>
              <w:jc w:val="left"/>
              <w:rPr/>
            </w:pPr>
            <w:r>
              <w:rPr>
                <w:rFonts w:ascii="Times New Roman;Times;Serif" w:hAnsi="Times New Roman;Times;Serif"/>
                <w:spacing w:val="-1"/>
                <w:sz w:val="20"/>
              </w:rPr>
              <w:t>2.</w:t>
            </w:r>
            <w:r>
              <w:rPr/>
              <w:t xml:space="preserve"> </w:t>
            </w:r>
            <w:r>
              <w:rPr>
                <w:rFonts w:ascii="Times New Roman;Times;Serif" w:hAnsi="Times New Roman;Times;Serif"/>
                <w:sz w:val="20"/>
              </w:rPr>
              <w:t xml:space="preserve">Scope of </w:t>
            </w:r>
            <w:r>
              <w:rPr>
                <w:rFonts w:ascii="Times New Roman;Times;Serif" w:hAnsi="Times New Roman;Times;Serif"/>
                <w:spacing w:val="-2"/>
                <w:sz w:val="20"/>
              </w:rPr>
              <w:t>Integration</w:t>
            </w:r>
          </w:p>
        </w:tc>
      </w:tr>
      <w:tr>
        <w:trPr/>
        <w:tc>
          <w:tcPr>
            <w:tcW w:w="75" w:type="dxa"/>
            <w:tcBorders/>
            <w:shd w:fill="CCEEFF" w:val="clear"/>
            <w:vAlign w:val="center"/>
          </w:tcPr>
          <w:p>
            <w:pPr>
              <w:pStyle w:val="TableContents"/>
              <w:bidi w:val="0"/>
              <w:spacing w:before="0" w:after="283"/>
              <w:jc w:val="left"/>
              <w:rPr/>
            </w:pPr>
            <w:r>
              <w:rPr/>
              <w:t> </w:t>
            </w:r>
          </w:p>
        </w:tc>
        <w:tc>
          <w:tcPr>
            <w:tcW w:w="6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 of the GXR Platform Overview of Specter</w:t>
            </w:r>
          </w:p>
        </w:tc>
      </w:tr>
      <w:tr>
        <w:trPr/>
        <w:tc>
          <w:tcPr>
            <w:tcW w:w="75" w:type="dxa"/>
            <w:tcBorders/>
            <w:shd w:fill="FFFFFF" w:val="clear"/>
            <w:vAlign w:val="center"/>
          </w:tcPr>
          <w:p>
            <w:pPr>
              <w:pStyle w:val="TableContents"/>
              <w:bidi w:val="0"/>
              <w:spacing w:before="0" w:after="283"/>
              <w:jc w:val="left"/>
              <w:rPr/>
            </w:pPr>
            <w:r>
              <w:rPr/>
              <w:t> </w:t>
            </w:r>
          </w:p>
        </w:tc>
        <w:tc>
          <w:tcPr>
            <w:tcW w:w="63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Specific Use Cases for </w:t>
            </w:r>
            <w:r>
              <w:rPr>
                <w:rFonts w:ascii="Times New Roman;Times;Serif" w:hAnsi="Times New Roman;Times;Serif"/>
                <w:spacing w:val="-5"/>
                <w:sz w:val="20"/>
              </w:rPr>
              <w:t>GXR</w:t>
            </w:r>
          </w:p>
        </w:tc>
      </w:tr>
      <w:tr>
        <w:trPr/>
        <w:tc>
          <w:tcPr>
            <w:tcW w:w="6465" w:type="dxa"/>
            <w:gridSpan w:val="2"/>
            <w:tcBorders/>
            <w:shd w:fill="CCEEFF" w:val="clear"/>
            <w:vAlign w:val="center"/>
          </w:tcPr>
          <w:p>
            <w:pPr>
              <w:pStyle w:val="TableContents"/>
              <w:bidi w:val="0"/>
              <w:spacing w:before="0" w:after="283"/>
              <w:jc w:val="left"/>
              <w:rPr/>
            </w:pPr>
            <w:r>
              <w:rPr>
                <w:rFonts w:ascii="Times New Roman;Times;Serif" w:hAnsi="Times New Roman;Times;Serif"/>
                <w:spacing w:val="-1"/>
                <w:sz w:val="20"/>
              </w:rPr>
              <w:t>3.</w:t>
            </w:r>
            <w:r>
              <w:rPr/>
              <w:t xml:space="preserve"> </w:t>
            </w:r>
            <w:r>
              <w:rPr>
                <w:rFonts w:ascii="Times New Roman;Times;Serif" w:hAnsi="Times New Roman;Times;Serif"/>
                <w:sz w:val="20"/>
              </w:rPr>
              <w:t xml:space="preserve">Integration </w:t>
            </w:r>
            <w:r>
              <w:rPr>
                <w:rFonts w:ascii="Times New Roman;Times;Serif" w:hAnsi="Times New Roman;Times;Serif"/>
                <w:spacing w:val="-4"/>
                <w:sz w:val="20"/>
              </w:rPr>
              <w:t>Flow</w:t>
            </w:r>
          </w:p>
        </w:tc>
      </w:tr>
      <w:tr>
        <w:trPr/>
        <w:tc>
          <w:tcPr>
            <w:tcW w:w="75" w:type="dxa"/>
            <w:tcBorders/>
            <w:shd w:fill="FFFFFF" w:val="clear"/>
            <w:vAlign w:val="center"/>
          </w:tcPr>
          <w:p>
            <w:pPr>
              <w:pStyle w:val="TableContents"/>
              <w:bidi w:val="0"/>
              <w:spacing w:before="0" w:after="283"/>
              <w:jc w:val="left"/>
              <w:rPr/>
            </w:pPr>
            <w:r>
              <w:rPr/>
              <w:t> </w:t>
            </w:r>
          </w:p>
        </w:tc>
        <w:tc>
          <w:tcPr>
            <w:tcW w:w="6390" w:type="dxa"/>
            <w:tcBorders/>
            <w:shd w:fill="FFFFFF" w:val="clear"/>
            <w:vAlign w:val="center"/>
          </w:tcPr>
          <w:p>
            <w:pPr>
              <w:pStyle w:val="TableContents"/>
              <w:bidi w:val="0"/>
              <w:spacing w:before="0" w:after="283"/>
              <w:jc w:val="left"/>
              <w:rPr/>
            </w:pPr>
            <w:r>
              <w:rPr>
                <w:rFonts w:ascii="Times New Roman;Times;Serif" w:hAnsi="Times New Roman;Times;Serif"/>
                <w:spacing w:val="-2"/>
                <w:sz w:val="20"/>
              </w:rPr>
              <w:t xml:space="preserve">Technical Architecture Diagram </w:t>
            </w:r>
            <w:r>
              <w:rPr>
                <w:rFonts w:ascii="Times New Roman;Times;Serif" w:hAnsi="Times New Roman;Times;Serif"/>
                <w:sz w:val="20"/>
              </w:rPr>
              <w:t>Key Components Involved User Journey Steps</w:t>
            </w:r>
          </w:p>
        </w:tc>
      </w:tr>
      <w:tr>
        <w:trPr/>
        <w:tc>
          <w:tcPr>
            <w:tcW w:w="75" w:type="dxa"/>
            <w:tcBorders/>
            <w:shd w:fill="CCEEFF" w:val="clear"/>
            <w:vAlign w:val="center"/>
          </w:tcPr>
          <w:p>
            <w:pPr>
              <w:pStyle w:val="TableContents"/>
              <w:bidi w:val="0"/>
              <w:spacing w:before="0" w:after="283"/>
              <w:jc w:val="left"/>
              <w:rPr/>
            </w:pPr>
            <w:r>
              <w:rPr/>
              <w:t> </w:t>
            </w:r>
          </w:p>
        </w:tc>
        <w:tc>
          <w:tcPr>
            <w:tcW w:w="6390" w:type="dxa"/>
            <w:tcBorders/>
            <w:shd w:fill="CCEEFF" w:val="clear"/>
            <w:vAlign w:val="center"/>
          </w:tcPr>
          <w:p>
            <w:pPr>
              <w:pStyle w:val="TableContents"/>
              <w:bidi w:val="0"/>
              <w:spacing w:before="0" w:after="283"/>
              <w:jc w:val="left"/>
              <w:rPr/>
            </w:pPr>
            <w:r>
              <w:rPr>
                <w:rFonts w:ascii="Times New Roman;Times;Serif" w:hAnsi="Times New Roman;Times;Serif"/>
                <w:spacing w:val="-1"/>
                <w:sz w:val="20"/>
              </w:rPr>
              <w:t xml:space="preserve">1. </w:t>
            </w:r>
            <w:r>
              <w:rPr>
                <w:rFonts w:ascii="Times New Roman;Times;Serif" w:hAnsi="Times New Roman;Times;Serif"/>
                <w:sz w:val="20"/>
              </w:rPr>
              <w:t xml:space="preserve">Joining a Game/Trivia/Prediction </w:t>
            </w:r>
            <w:r>
              <w:rPr>
                <w:rFonts w:ascii="Times New Roman;Times;Serif" w:hAnsi="Times New Roman;Times;Serif"/>
                <w:spacing w:val="-2"/>
                <w:sz w:val="20"/>
              </w:rPr>
              <w:t>Session</w:t>
            </w:r>
          </w:p>
        </w:tc>
      </w:tr>
      <w:tr>
        <w:trPr/>
        <w:tc>
          <w:tcPr>
            <w:tcW w:w="75" w:type="dxa"/>
            <w:tcBorders/>
            <w:shd w:fill="FFFFFF" w:val="clear"/>
            <w:vAlign w:val="center"/>
          </w:tcPr>
          <w:p>
            <w:pPr>
              <w:pStyle w:val="TableContents"/>
              <w:bidi w:val="0"/>
              <w:spacing w:before="0" w:after="283"/>
              <w:jc w:val="left"/>
              <w:rPr/>
            </w:pPr>
            <w:r>
              <w:rPr/>
              <w:t> </w:t>
            </w:r>
          </w:p>
        </w:tc>
        <w:tc>
          <w:tcPr>
            <w:tcW w:w="6390" w:type="dxa"/>
            <w:tcBorders/>
            <w:shd w:fill="FFFFFF" w:val="clear"/>
            <w:vAlign w:val="center"/>
          </w:tcPr>
          <w:p>
            <w:pPr>
              <w:pStyle w:val="TableContents"/>
              <w:bidi w:val="0"/>
              <w:spacing w:before="0" w:after="283"/>
              <w:jc w:val="left"/>
              <w:rPr/>
            </w:pPr>
            <w:r>
              <w:rPr>
                <w:rFonts w:ascii="Times New Roman;Times;Serif" w:hAnsi="Times New Roman;Times;Serif"/>
                <w:spacing w:val="-1"/>
                <w:sz w:val="20"/>
              </w:rPr>
              <w:t xml:space="preserve">2. </w:t>
            </w:r>
            <w:r>
              <w:rPr>
                <w:rFonts w:ascii="Times New Roman;Times;Serif" w:hAnsi="Times New Roman;Times;Serif"/>
                <w:sz w:val="20"/>
              </w:rPr>
              <w:t xml:space="preserve">Participating in an RMG </w:t>
            </w:r>
            <w:r>
              <w:rPr>
                <w:rFonts w:ascii="Times New Roman;Times;Serif" w:hAnsi="Times New Roman;Times;Serif"/>
                <w:spacing w:val="-2"/>
                <w:sz w:val="20"/>
              </w:rPr>
              <w:t>Competition</w:t>
            </w:r>
          </w:p>
        </w:tc>
      </w:tr>
      <w:tr>
        <w:trPr/>
        <w:tc>
          <w:tcPr>
            <w:tcW w:w="75" w:type="dxa"/>
            <w:tcBorders/>
            <w:shd w:fill="CCEEFF" w:val="clear"/>
            <w:vAlign w:val="center"/>
          </w:tcPr>
          <w:p>
            <w:pPr>
              <w:pStyle w:val="TableContents"/>
              <w:bidi w:val="0"/>
              <w:spacing w:before="0" w:after="283"/>
              <w:jc w:val="left"/>
              <w:rPr/>
            </w:pPr>
            <w:r>
              <w:rPr/>
              <w:t> </w:t>
            </w:r>
          </w:p>
        </w:tc>
        <w:tc>
          <w:tcPr>
            <w:tcW w:w="6390" w:type="dxa"/>
            <w:tcBorders/>
            <w:shd w:fill="CCEEFF" w:val="clear"/>
            <w:vAlign w:val="center"/>
          </w:tcPr>
          <w:p>
            <w:pPr>
              <w:pStyle w:val="TableContents"/>
              <w:bidi w:val="0"/>
              <w:spacing w:before="0" w:after="283"/>
              <w:jc w:val="left"/>
              <w:rPr/>
            </w:pPr>
            <w:r>
              <w:rPr>
                <w:rFonts w:ascii="Times New Roman;Times;Serif" w:hAnsi="Times New Roman;Times;Serif"/>
                <w:spacing w:val="-1"/>
                <w:sz w:val="20"/>
              </w:rPr>
              <w:t xml:space="preserve">3. </w:t>
            </w:r>
            <w:r>
              <w:rPr>
                <w:rFonts w:ascii="Times New Roman;Times;Serif" w:hAnsi="Times New Roman;Times;Serif"/>
                <w:sz w:val="20"/>
              </w:rPr>
              <w:t xml:space="preserve">Earning or Losing Rewards Based on </w:t>
            </w:r>
            <w:r>
              <w:rPr>
                <w:rFonts w:ascii="Times New Roman;Times;Serif" w:hAnsi="Times New Roman;Times;Serif"/>
                <w:spacing w:val="-2"/>
                <w:sz w:val="20"/>
              </w:rPr>
              <w:t>Outcomes</w:t>
            </w:r>
          </w:p>
        </w:tc>
      </w:tr>
      <w:tr>
        <w:trPr/>
        <w:tc>
          <w:tcPr>
            <w:tcW w:w="75" w:type="dxa"/>
            <w:tcBorders/>
            <w:shd w:fill="FFFFFF" w:val="clear"/>
            <w:vAlign w:val="center"/>
          </w:tcPr>
          <w:p>
            <w:pPr>
              <w:pStyle w:val="TableContents"/>
              <w:bidi w:val="0"/>
              <w:spacing w:before="0" w:after="283"/>
              <w:jc w:val="left"/>
              <w:rPr/>
            </w:pPr>
            <w:r>
              <w:rPr/>
              <w:t> </w:t>
            </w:r>
          </w:p>
        </w:tc>
        <w:tc>
          <w:tcPr>
            <w:tcW w:w="6390" w:type="dxa"/>
            <w:tcBorders/>
            <w:shd w:fill="FFFFFF" w:val="clear"/>
            <w:vAlign w:val="center"/>
          </w:tcPr>
          <w:p>
            <w:pPr>
              <w:pStyle w:val="TableContents"/>
              <w:bidi w:val="0"/>
              <w:spacing w:before="0" w:after="283"/>
              <w:jc w:val="left"/>
              <w:rPr/>
            </w:pPr>
            <w:r>
              <w:rPr>
                <w:rFonts w:ascii="Times New Roman;Times;Serif" w:hAnsi="Times New Roman;Times;Serif"/>
                <w:spacing w:val="-1"/>
                <w:sz w:val="20"/>
              </w:rPr>
              <w:t xml:space="preserve">4. </w:t>
            </w:r>
            <w:r>
              <w:rPr>
                <w:rFonts w:ascii="Times New Roman;Times;Serif" w:hAnsi="Times New Roman;Times;Serif"/>
                <w:sz w:val="20"/>
              </w:rPr>
              <w:t xml:space="preserve">Redeeming Rewards or Withdrawing Winnings </w:t>
            </w:r>
            <w:r>
              <w:rPr>
                <w:rFonts w:ascii="Times New Roman;Times;Serif" w:hAnsi="Times New Roman;Times;Serif"/>
                <w:spacing w:val="-2"/>
                <w:sz w:val="20"/>
              </w:rPr>
              <w:t>Summary</w:t>
            </w:r>
          </w:p>
        </w:tc>
      </w:tr>
      <w:tr>
        <w:trPr/>
        <w:tc>
          <w:tcPr>
            <w:tcW w:w="75" w:type="dxa"/>
            <w:tcBorders/>
            <w:shd w:fill="CCEEFF" w:val="clear"/>
            <w:vAlign w:val="center"/>
          </w:tcPr>
          <w:p>
            <w:pPr>
              <w:pStyle w:val="TableContents"/>
              <w:bidi w:val="0"/>
              <w:spacing w:before="0" w:after="283"/>
              <w:jc w:val="left"/>
              <w:rPr/>
            </w:pPr>
            <w:r>
              <w:rPr/>
              <w:t> </w:t>
            </w:r>
          </w:p>
        </w:tc>
        <w:tc>
          <w:tcPr>
            <w:tcW w:w="6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API Requirements for Specter-GXR </w:t>
            </w:r>
            <w:r>
              <w:rPr>
                <w:rFonts w:ascii="Times New Roman;Times;Serif" w:hAnsi="Times New Roman;Times;Serif"/>
                <w:spacing w:val="-2"/>
                <w:sz w:val="20"/>
              </w:rPr>
              <w:t>Integration</w:t>
            </w:r>
          </w:p>
        </w:tc>
      </w:tr>
      <w:tr>
        <w:trPr/>
        <w:tc>
          <w:tcPr>
            <w:tcW w:w="75" w:type="dxa"/>
            <w:tcBorders/>
            <w:shd w:fill="FFFFFF" w:val="clear"/>
            <w:vAlign w:val="center"/>
          </w:tcPr>
          <w:p>
            <w:pPr>
              <w:pStyle w:val="TableContents"/>
              <w:bidi w:val="0"/>
              <w:spacing w:before="0" w:after="283"/>
              <w:jc w:val="left"/>
              <w:rPr/>
            </w:pPr>
            <w:r>
              <w:rPr/>
              <w:t> </w:t>
            </w:r>
          </w:p>
        </w:tc>
        <w:tc>
          <w:tcPr>
            <w:tcW w:w="6390" w:type="dxa"/>
            <w:tcBorders/>
            <w:shd w:fill="FFFFFF" w:val="clear"/>
            <w:vAlign w:val="center"/>
          </w:tcPr>
          <w:p>
            <w:pPr>
              <w:pStyle w:val="TableContents"/>
              <w:bidi w:val="0"/>
              <w:spacing w:before="0" w:after="283"/>
              <w:jc w:val="left"/>
              <w:rPr/>
            </w:pPr>
            <w:r>
              <w:rPr>
                <w:rFonts w:ascii="Times New Roman;Times;Serif" w:hAnsi="Times New Roman;Times;Serif"/>
                <w:spacing w:val="-1"/>
                <w:sz w:val="20"/>
              </w:rPr>
              <w:t xml:space="preserve">1. </w:t>
            </w:r>
            <w:r>
              <w:rPr>
                <w:rFonts w:ascii="Times New Roman;Times;Serif" w:hAnsi="Times New Roman;Times;Serif"/>
                <w:sz w:val="20"/>
              </w:rPr>
              <w:t xml:space="preserve">Authentication &amp; User </w:t>
            </w:r>
            <w:r>
              <w:rPr>
                <w:rFonts w:ascii="Times New Roman;Times;Serif" w:hAnsi="Times New Roman;Times;Serif"/>
                <w:spacing w:val="-2"/>
                <w:sz w:val="20"/>
              </w:rPr>
              <w:t>Management</w:t>
            </w:r>
          </w:p>
        </w:tc>
      </w:tr>
      <w:tr>
        <w:trPr/>
        <w:tc>
          <w:tcPr>
            <w:tcW w:w="75" w:type="dxa"/>
            <w:tcBorders/>
            <w:shd w:fill="CCEEFF" w:val="clear"/>
            <w:vAlign w:val="center"/>
          </w:tcPr>
          <w:p>
            <w:pPr>
              <w:pStyle w:val="TableContents"/>
              <w:bidi w:val="0"/>
              <w:spacing w:before="0" w:after="283"/>
              <w:jc w:val="left"/>
              <w:rPr/>
            </w:pPr>
            <w:r>
              <w:rPr/>
              <w:t> </w:t>
            </w:r>
          </w:p>
        </w:tc>
        <w:tc>
          <w:tcPr>
            <w:tcW w:w="6390" w:type="dxa"/>
            <w:tcBorders/>
            <w:shd w:fill="CCEEFF" w:val="clear"/>
            <w:vAlign w:val="center"/>
          </w:tcPr>
          <w:p>
            <w:pPr>
              <w:pStyle w:val="TableContents"/>
              <w:bidi w:val="0"/>
              <w:spacing w:before="0" w:after="283"/>
              <w:jc w:val="left"/>
              <w:rPr/>
            </w:pPr>
            <w:r>
              <w:rPr>
                <w:rFonts w:ascii="Times New Roman;Times;Serif" w:hAnsi="Times New Roman;Times;Serif"/>
                <w:spacing w:val="-1"/>
                <w:sz w:val="20"/>
              </w:rPr>
              <w:t xml:space="preserve">2. </w:t>
            </w:r>
            <w:r>
              <w:rPr>
                <w:rFonts w:ascii="Times New Roman;Times;Serif" w:hAnsi="Times New Roman;Times;Serif"/>
                <w:sz w:val="20"/>
              </w:rPr>
              <w:t xml:space="preserve">Wallet Management (Deposits, Withdrawals, and </w:t>
            </w:r>
            <w:r>
              <w:rPr>
                <w:rFonts w:ascii="Times New Roman;Times;Serif" w:hAnsi="Times New Roman;Times;Serif"/>
                <w:spacing w:val="-2"/>
                <w:sz w:val="20"/>
              </w:rPr>
              <w:t>Transfers)</w:t>
            </w:r>
          </w:p>
        </w:tc>
      </w:tr>
      <w:tr>
        <w:trPr/>
        <w:tc>
          <w:tcPr>
            <w:tcW w:w="75" w:type="dxa"/>
            <w:tcBorders/>
            <w:shd w:fill="FFFFFF" w:val="clear"/>
            <w:vAlign w:val="center"/>
          </w:tcPr>
          <w:p>
            <w:pPr>
              <w:pStyle w:val="TableContents"/>
              <w:bidi w:val="0"/>
              <w:spacing w:before="0" w:after="283"/>
              <w:jc w:val="left"/>
              <w:rPr/>
            </w:pPr>
            <w:r>
              <w:rPr/>
              <w:t> </w:t>
            </w:r>
          </w:p>
        </w:tc>
        <w:tc>
          <w:tcPr>
            <w:tcW w:w="6390" w:type="dxa"/>
            <w:tcBorders/>
            <w:shd w:fill="FFFFFF" w:val="clear"/>
            <w:vAlign w:val="center"/>
          </w:tcPr>
          <w:p>
            <w:pPr>
              <w:pStyle w:val="TableContents"/>
              <w:bidi w:val="0"/>
              <w:spacing w:before="0" w:after="283"/>
              <w:jc w:val="left"/>
              <w:rPr/>
            </w:pPr>
            <w:r>
              <w:rPr>
                <w:rFonts w:ascii="Times New Roman;Times;Serif" w:hAnsi="Times New Roman;Times;Serif"/>
                <w:spacing w:val="-1"/>
                <w:sz w:val="20"/>
              </w:rPr>
              <w:t xml:space="preserve">3. </w:t>
            </w:r>
            <w:r>
              <w:rPr>
                <w:rFonts w:ascii="Times New Roman;Times;Serif" w:hAnsi="Times New Roman;Times;Serif"/>
                <w:sz w:val="20"/>
              </w:rPr>
              <w:t xml:space="preserve">Game </w:t>
            </w:r>
            <w:r>
              <w:rPr>
                <w:rFonts w:ascii="Times New Roman;Times;Serif" w:hAnsi="Times New Roman;Times;Serif"/>
                <w:spacing w:val="-2"/>
                <w:sz w:val="20"/>
              </w:rPr>
              <w:t>Mechanics</w:t>
            </w:r>
          </w:p>
        </w:tc>
      </w:tr>
      <w:tr>
        <w:trPr/>
        <w:tc>
          <w:tcPr>
            <w:tcW w:w="75" w:type="dxa"/>
            <w:tcBorders/>
            <w:shd w:fill="CCEEFF" w:val="clear"/>
            <w:vAlign w:val="center"/>
          </w:tcPr>
          <w:p>
            <w:pPr>
              <w:pStyle w:val="TableContents"/>
              <w:bidi w:val="0"/>
              <w:spacing w:before="0" w:after="283"/>
              <w:jc w:val="left"/>
              <w:rPr/>
            </w:pPr>
            <w:r>
              <w:rPr/>
              <w:t> </w:t>
            </w:r>
          </w:p>
        </w:tc>
        <w:tc>
          <w:tcPr>
            <w:tcW w:w="6390" w:type="dxa"/>
            <w:tcBorders/>
            <w:shd w:fill="CCEEFF" w:val="clear"/>
            <w:vAlign w:val="center"/>
          </w:tcPr>
          <w:p>
            <w:pPr>
              <w:pStyle w:val="TableContents"/>
              <w:bidi w:val="0"/>
              <w:spacing w:before="0" w:after="283"/>
              <w:jc w:val="left"/>
              <w:rPr/>
            </w:pPr>
            <w:r>
              <w:rPr>
                <w:rFonts w:ascii="Times New Roman;Times;Serif" w:hAnsi="Times New Roman;Times;Serif"/>
                <w:spacing w:val="-1"/>
                <w:sz w:val="20"/>
              </w:rPr>
              <w:t xml:space="preserve">4. </w:t>
            </w:r>
            <w:r>
              <w:rPr>
                <w:rFonts w:ascii="Times New Roman;Times;Serif" w:hAnsi="Times New Roman;Times;Serif"/>
                <w:sz w:val="20"/>
              </w:rPr>
              <w:t xml:space="preserve">Event Triggers and </w:t>
            </w:r>
            <w:r>
              <w:rPr>
                <w:rFonts w:ascii="Times New Roman;Times;Serif" w:hAnsi="Times New Roman;Times;Serif"/>
                <w:spacing w:val="-2"/>
                <w:sz w:val="20"/>
              </w:rPr>
              <w:t>Leaderboards</w:t>
            </w:r>
          </w:p>
        </w:tc>
      </w:tr>
      <w:tr>
        <w:trPr/>
        <w:tc>
          <w:tcPr>
            <w:tcW w:w="75" w:type="dxa"/>
            <w:tcBorders/>
            <w:shd w:fill="FFFFFF" w:val="clear"/>
            <w:vAlign w:val="center"/>
          </w:tcPr>
          <w:p>
            <w:pPr>
              <w:pStyle w:val="TableContents"/>
              <w:bidi w:val="0"/>
              <w:spacing w:before="0" w:after="283"/>
              <w:jc w:val="left"/>
              <w:rPr/>
            </w:pPr>
            <w:r>
              <w:rPr/>
              <w:t> </w:t>
            </w:r>
          </w:p>
        </w:tc>
        <w:tc>
          <w:tcPr>
            <w:tcW w:w="6390" w:type="dxa"/>
            <w:tcBorders/>
            <w:shd w:fill="FFFFFF" w:val="clear"/>
            <w:vAlign w:val="center"/>
          </w:tcPr>
          <w:p>
            <w:pPr>
              <w:pStyle w:val="TableContents"/>
              <w:bidi w:val="0"/>
              <w:spacing w:before="0" w:after="283"/>
              <w:jc w:val="left"/>
              <w:rPr/>
            </w:pPr>
            <w:r>
              <w:rPr>
                <w:rFonts w:ascii="Times New Roman;Times;Serif" w:hAnsi="Times New Roman;Times;Serif"/>
                <w:spacing w:val="-1"/>
                <w:sz w:val="20"/>
              </w:rPr>
              <w:t xml:space="preserve">5. </w:t>
            </w:r>
            <w:r>
              <w:rPr>
                <w:rFonts w:ascii="Times New Roman;Times;Serif" w:hAnsi="Times New Roman;Times;Serif"/>
                <w:sz w:val="20"/>
              </w:rPr>
              <w:t xml:space="preserve">Badges and Inventory </w:t>
            </w:r>
            <w:r>
              <w:rPr>
                <w:rFonts w:ascii="Times New Roman;Times;Serif" w:hAnsi="Times New Roman;Times;Serif"/>
                <w:spacing w:val="-2"/>
                <w:sz w:val="20"/>
              </w:rPr>
              <w:t>Management</w:t>
            </w:r>
          </w:p>
        </w:tc>
      </w:tr>
      <w:tr>
        <w:trPr/>
        <w:tc>
          <w:tcPr>
            <w:tcW w:w="6465" w:type="dxa"/>
            <w:gridSpan w:val="2"/>
            <w:tcBorders/>
            <w:shd w:fill="CCEEFF" w:val="clear"/>
            <w:vAlign w:val="center"/>
          </w:tcPr>
          <w:p>
            <w:pPr>
              <w:pStyle w:val="TableContents"/>
              <w:bidi w:val="0"/>
              <w:spacing w:before="0" w:after="283"/>
              <w:jc w:val="left"/>
              <w:rPr/>
            </w:pPr>
            <w:r>
              <w:rPr>
                <w:rFonts w:ascii="Times New Roman;Times;Serif" w:hAnsi="Times New Roman;Times;Serif"/>
                <w:spacing w:val="-1"/>
                <w:sz w:val="20"/>
              </w:rPr>
              <w:t>4.</w:t>
            </w:r>
            <w:r>
              <w:rPr/>
              <w:t xml:space="preserve"> </w:t>
            </w:r>
            <w:r>
              <w:rPr>
                <w:rFonts w:ascii="Times New Roman;Times;Serif" w:hAnsi="Times New Roman;Times;Serif"/>
                <w:sz w:val="20"/>
              </w:rPr>
              <w:t xml:space="preserve">Money Flow &amp; Wallet </w:t>
            </w:r>
            <w:r>
              <w:rPr>
                <w:rFonts w:ascii="Times New Roman;Times;Serif" w:hAnsi="Times New Roman;Times;Serif"/>
                <w:spacing w:val="-2"/>
                <w:sz w:val="20"/>
              </w:rPr>
              <w:t>Integration</w:t>
            </w:r>
          </w:p>
        </w:tc>
      </w:tr>
      <w:tr>
        <w:trPr/>
        <w:tc>
          <w:tcPr>
            <w:tcW w:w="75" w:type="dxa"/>
            <w:tcBorders/>
            <w:shd w:fill="FFFFFF" w:val="clear"/>
            <w:vAlign w:val="center"/>
          </w:tcPr>
          <w:p>
            <w:pPr>
              <w:pStyle w:val="TableContents"/>
              <w:bidi w:val="0"/>
              <w:spacing w:before="0" w:after="283"/>
              <w:jc w:val="left"/>
              <w:rPr/>
            </w:pPr>
            <w:r>
              <w:rPr/>
              <w:t> </w:t>
            </w:r>
          </w:p>
        </w:tc>
        <w:tc>
          <w:tcPr>
            <w:tcW w:w="6390" w:type="dxa"/>
            <w:tcBorders/>
            <w:shd w:fill="FFFFFF" w:val="clear"/>
            <w:vAlign w:val="center"/>
          </w:tcPr>
          <w:p>
            <w:pPr>
              <w:pStyle w:val="TableContents"/>
              <w:bidi w:val="0"/>
              <w:spacing w:before="0" w:after="283"/>
              <w:jc w:val="left"/>
              <w:rPr/>
            </w:pPr>
            <w:r>
              <w:rPr>
                <w:rFonts w:ascii="Times New Roman;Times;Serif" w:hAnsi="Times New Roman;Times;Serif"/>
                <w:spacing w:val="-1"/>
                <w:sz w:val="20"/>
              </w:rPr>
              <w:t xml:space="preserve">1. </w:t>
            </w:r>
            <w:r>
              <w:rPr>
                <w:rFonts w:ascii="Times New Roman;Times;Serif" w:hAnsi="Times New Roman;Times;Serif"/>
                <w:sz w:val="20"/>
              </w:rPr>
              <w:t xml:space="preserve">User Deposit </w:t>
            </w:r>
            <w:r>
              <w:rPr>
                <w:rFonts w:ascii="Times New Roman;Times;Serif" w:hAnsi="Times New Roman;Times;Serif"/>
                <w:spacing w:val="-4"/>
                <w:sz w:val="20"/>
              </w:rPr>
              <w:t>Flow</w:t>
            </w:r>
          </w:p>
        </w:tc>
      </w:tr>
      <w:tr>
        <w:trPr/>
        <w:tc>
          <w:tcPr>
            <w:tcW w:w="75" w:type="dxa"/>
            <w:tcBorders/>
            <w:shd w:fill="CCEEFF" w:val="clear"/>
            <w:vAlign w:val="center"/>
          </w:tcPr>
          <w:p>
            <w:pPr>
              <w:pStyle w:val="TableContents"/>
              <w:bidi w:val="0"/>
              <w:spacing w:before="0" w:after="283"/>
              <w:jc w:val="left"/>
              <w:rPr/>
            </w:pPr>
            <w:r>
              <w:rPr/>
              <w:t> </w:t>
            </w:r>
          </w:p>
        </w:tc>
        <w:tc>
          <w:tcPr>
            <w:tcW w:w="6390" w:type="dxa"/>
            <w:tcBorders/>
            <w:shd w:fill="CCEEFF" w:val="clear"/>
            <w:vAlign w:val="center"/>
          </w:tcPr>
          <w:p>
            <w:pPr>
              <w:pStyle w:val="TableContents"/>
              <w:bidi w:val="0"/>
              <w:spacing w:before="0" w:after="283"/>
              <w:jc w:val="left"/>
              <w:rPr/>
            </w:pPr>
            <w:r>
              <w:rPr>
                <w:rFonts w:ascii="Times New Roman;Times;Serif" w:hAnsi="Times New Roman;Times;Serif"/>
                <w:spacing w:val="-1"/>
                <w:sz w:val="20"/>
              </w:rPr>
              <w:t xml:space="preserve">2. </w:t>
            </w:r>
            <w:r>
              <w:rPr>
                <w:rFonts w:ascii="Times New Roman;Times;Serif" w:hAnsi="Times New Roman;Times;Serif"/>
                <w:sz w:val="20"/>
              </w:rPr>
              <w:t xml:space="preserve">Wallet Operations for </w:t>
            </w:r>
            <w:r>
              <w:rPr>
                <w:rFonts w:ascii="Times New Roman;Times;Serif" w:hAnsi="Times New Roman;Times;Serif"/>
                <w:spacing w:val="-2"/>
                <w:sz w:val="20"/>
              </w:rPr>
              <w:t>Competitions</w:t>
            </w:r>
          </w:p>
        </w:tc>
      </w:tr>
      <w:tr>
        <w:trPr/>
        <w:tc>
          <w:tcPr>
            <w:tcW w:w="75" w:type="dxa"/>
            <w:tcBorders/>
            <w:shd w:fill="FFFFFF" w:val="clear"/>
            <w:vAlign w:val="center"/>
          </w:tcPr>
          <w:p>
            <w:pPr>
              <w:pStyle w:val="TableContents"/>
              <w:bidi w:val="0"/>
              <w:spacing w:before="0" w:after="283"/>
              <w:jc w:val="left"/>
              <w:rPr/>
            </w:pPr>
            <w:r>
              <w:rPr/>
              <w:t> </w:t>
            </w:r>
          </w:p>
        </w:tc>
        <w:tc>
          <w:tcPr>
            <w:tcW w:w="6390" w:type="dxa"/>
            <w:tcBorders/>
            <w:shd w:fill="FFFFFF" w:val="clear"/>
            <w:vAlign w:val="center"/>
          </w:tcPr>
          <w:p>
            <w:pPr>
              <w:pStyle w:val="TableContents"/>
              <w:bidi w:val="0"/>
              <w:spacing w:before="0" w:after="283"/>
              <w:jc w:val="left"/>
              <w:rPr/>
            </w:pPr>
            <w:r>
              <w:rPr>
                <w:rFonts w:ascii="Times New Roman;Times;Serif" w:hAnsi="Times New Roman;Times;Serif"/>
                <w:spacing w:val="-1"/>
                <w:sz w:val="20"/>
              </w:rPr>
              <w:t xml:space="preserve">3. </w:t>
            </w:r>
            <w:r>
              <w:rPr>
                <w:rFonts w:ascii="Times New Roman;Times;Serif" w:hAnsi="Times New Roman;Times;Serif"/>
                <w:sz w:val="20"/>
              </w:rPr>
              <w:t xml:space="preserve">Prize Distribution </w:t>
            </w:r>
            <w:r>
              <w:rPr>
                <w:rFonts w:ascii="Times New Roman;Times;Serif" w:hAnsi="Times New Roman;Times;Serif"/>
                <w:spacing w:val="-4"/>
                <w:sz w:val="20"/>
              </w:rPr>
              <w:t>Flow</w:t>
            </w:r>
          </w:p>
        </w:tc>
      </w:tr>
      <w:tr>
        <w:trPr/>
        <w:tc>
          <w:tcPr>
            <w:tcW w:w="75" w:type="dxa"/>
            <w:tcBorders/>
            <w:shd w:fill="CCEEFF" w:val="clear"/>
            <w:vAlign w:val="center"/>
          </w:tcPr>
          <w:p>
            <w:pPr>
              <w:pStyle w:val="TableContents"/>
              <w:bidi w:val="0"/>
              <w:spacing w:before="0" w:after="283"/>
              <w:jc w:val="left"/>
              <w:rPr/>
            </w:pPr>
            <w:r>
              <w:rPr/>
              <w:t> </w:t>
            </w:r>
          </w:p>
        </w:tc>
        <w:tc>
          <w:tcPr>
            <w:tcW w:w="6390" w:type="dxa"/>
            <w:tcBorders/>
            <w:shd w:fill="CCEEFF" w:val="clear"/>
            <w:vAlign w:val="center"/>
          </w:tcPr>
          <w:p>
            <w:pPr>
              <w:pStyle w:val="TableContents"/>
              <w:bidi w:val="0"/>
              <w:spacing w:before="0" w:after="283"/>
              <w:jc w:val="left"/>
              <w:rPr/>
            </w:pPr>
            <w:r>
              <w:rPr>
                <w:rFonts w:ascii="Times New Roman;Times;Serif" w:hAnsi="Times New Roman;Times;Serif"/>
                <w:spacing w:val="-1"/>
                <w:sz w:val="20"/>
              </w:rPr>
              <w:t xml:space="preserve">4. </w:t>
            </w:r>
            <w:r>
              <w:rPr>
                <w:rFonts w:ascii="Times New Roman;Times;Serif" w:hAnsi="Times New Roman;Times;Serif"/>
                <w:sz w:val="20"/>
              </w:rPr>
              <w:t xml:space="preserve">User Withdrawal </w:t>
            </w:r>
            <w:r>
              <w:rPr>
                <w:rFonts w:ascii="Times New Roman;Times;Serif" w:hAnsi="Times New Roman;Times;Serif"/>
                <w:spacing w:val="-4"/>
                <w:sz w:val="20"/>
              </w:rPr>
              <w:t>Flow</w:t>
            </w:r>
          </w:p>
        </w:tc>
      </w:tr>
      <w:tr>
        <w:trPr/>
        <w:tc>
          <w:tcPr>
            <w:tcW w:w="75" w:type="dxa"/>
            <w:tcBorders/>
            <w:shd w:fill="FFFFFF" w:val="clear"/>
            <w:vAlign w:val="center"/>
          </w:tcPr>
          <w:p>
            <w:pPr>
              <w:pStyle w:val="TableContents"/>
              <w:bidi w:val="0"/>
              <w:spacing w:before="0" w:after="283"/>
              <w:jc w:val="left"/>
              <w:rPr/>
            </w:pPr>
            <w:r>
              <w:rPr/>
              <w:t> </w:t>
            </w:r>
          </w:p>
        </w:tc>
        <w:tc>
          <w:tcPr>
            <w:tcW w:w="63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Key Components of the System System Flow Summary </w:t>
            </w:r>
            <w:r>
              <w:rPr>
                <w:rFonts w:ascii="Times New Roman;Times;Serif" w:hAnsi="Times New Roman;Times;Serif"/>
                <w:spacing w:val="-2"/>
                <w:sz w:val="20"/>
              </w:rPr>
              <w:t>Conclusion</w:t>
            </w:r>
          </w:p>
        </w:tc>
      </w:tr>
      <w:tr>
        <w:trPr/>
        <w:tc>
          <w:tcPr>
            <w:tcW w:w="6465" w:type="dxa"/>
            <w:gridSpan w:val="2"/>
            <w:tcBorders/>
            <w:shd w:fill="CCEEFF" w:val="clear"/>
            <w:vAlign w:val="center"/>
          </w:tcPr>
          <w:p>
            <w:pPr>
              <w:pStyle w:val="TableContents"/>
              <w:bidi w:val="0"/>
              <w:spacing w:before="0" w:after="283"/>
              <w:jc w:val="left"/>
              <w:rPr/>
            </w:pPr>
            <w:r>
              <w:rPr>
                <w:rFonts w:ascii="Times New Roman;Times;Serif" w:hAnsi="Times New Roman;Times;Serif"/>
                <w:spacing w:val="-1"/>
                <w:sz w:val="20"/>
              </w:rPr>
              <w:t>5.</w:t>
            </w:r>
            <w:r>
              <w:rPr/>
              <w:t xml:space="preserve"> </w:t>
            </w:r>
            <w:r>
              <w:rPr>
                <w:rFonts w:ascii="Times New Roman;Times;Serif" w:hAnsi="Times New Roman;Times;Serif"/>
                <w:sz w:val="20"/>
              </w:rPr>
              <w:t xml:space="preserve">Specter Integration with KYC and AML </w:t>
            </w:r>
            <w:r>
              <w:rPr>
                <w:rFonts w:ascii="Times New Roman;Times;Serif" w:hAnsi="Times New Roman;Times;Serif"/>
                <w:spacing w:val="-2"/>
                <w:sz w:val="20"/>
              </w:rPr>
              <w:t>Platforms</w:t>
            </w:r>
          </w:p>
        </w:tc>
      </w:tr>
      <w:tr>
        <w:trPr/>
        <w:tc>
          <w:tcPr>
            <w:tcW w:w="6465" w:type="dxa"/>
            <w:gridSpan w:val="2"/>
            <w:tcBorders/>
            <w:shd w:fill="FFFFFF" w:val="clear"/>
            <w:vAlign w:val="center"/>
          </w:tcPr>
          <w:p>
            <w:pPr>
              <w:pStyle w:val="TableContents"/>
              <w:bidi w:val="0"/>
              <w:spacing w:before="0" w:after="283"/>
              <w:jc w:val="left"/>
              <w:rPr/>
            </w:pPr>
            <w:r>
              <w:rPr>
                <w:rFonts w:ascii="Times New Roman;Times;Serif" w:hAnsi="Times New Roman;Times;Serif"/>
                <w:spacing w:val="-1"/>
                <w:sz w:val="20"/>
              </w:rPr>
              <w:t>6.</w:t>
            </w:r>
            <w:r>
              <w:rPr/>
              <w:t xml:space="preserve"> </w:t>
            </w:r>
            <w:r>
              <w:rPr>
                <w:rFonts w:ascii="Times New Roman;Times;Serif" w:hAnsi="Times New Roman;Times;Serif"/>
                <w:spacing w:val="-2"/>
                <w:sz w:val="20"/>
              </w:rPr>
              <w:t>Post-Integration Support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1. </w:t>
      </w:r>
      <w:r>
        <w:rPr>
          <w:rFonts w:ascii="Times New Roman;Times;Serif" w:hAnsi="Times New Roman;Times;Serif"/>
          <w:b w:val="false"/>
          <w:i w:val="false"/>
          <w:caps w:val="false"/>
          <w:smallCaps w:val="false"/>
          <w:sz w:val="20"/>
        </w:rPr>
        <w:t xml:space="preserve">Executive </w:t>
      </w:r>
      <w:r>
        <w:rPr>
          <w:rFonts w:ascii="Times New Roman;Times;Serif" w:hAnsi="Times New Roman;Times;Serif"/>
          <w:b w:val="false"/>
          <w:i w:val="false"/>
          <w:caps w:val="false"/>
          <w:smallCaps w:val="false"/>
          <w:spacing w:val="-2"/>
          <w:sz w:val="20"/>
        </w:rPr>
        <w:t>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Brief Overview of the Integration </w:t>
      </w:r>
      <w:r>
        <w:rPr>
          <w:rFonts w:ascii="Times New Roman;Times;Serif" w:hAnsi="Times New Roman;Times;Serif"/>
          <w:b/>
          <w:i w:val="false"/>
          <w:caps w:val="false"/>
          <w:smallCaps w:val="false"/>
          <w:spacing w:val="-4"/>
          <w:sz w:val="20"/>
        </w:rPr>
        <w:t>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goal of the integration is to introduce real money gaming (RMG) and fan engagement features into the Galaxy Racer (GXR) app. This will include both frontend and backend components, with Specter handling the entire backend system to streamline operations and ensure a seamless user experience. Key backend capabilities provided by Specter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Payment Gateway Integration</w:t>
            </w:r>
            <w:r>
              <w:rPr>
                <w:rFonts w:ascii="Times New Roman;Times;Serif" w:hAnsi="Times New Roman;Times;Serif"/>
                <w:sz w:val="20"/>
              </w:rPr>
              <w:t>: Seamless deposits and withdrawals via Razorpay, Stripe, PayU, and other supported gateways.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RMG Wallet Management</w:t>
            </w:r>
            <w:r>
              <w:rPr>
                <w:rFonts w:ascii="Times New Roman;Times;Serif" w:hAnsi="Times New Roman;Times;Serif"/>
                <w:sz w:val="20"/>
              </w:rPr>
              <w:t>: Creation and management of wallets, enabling smooth money movement for actions like competition entry fees and prize distributions.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Match and Competition Systems</w:t>
            </w:r>
            <w:r>
              <w:rPr>
                <w:rFonts w:ascii="Times New Roman;Times;Serif" w:hAnsi="Times New Roman;Times;Serif"/>
                <w:sz w:val="20"/>
              </w:rPr>
              <w:t>: Competitive systems like tournaments and matches, allowing users to participate in structured competitions with defined entry fees, prize pools, and rankings.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Event Tracking and Achievement Systems</w:t>
            </w:r>
            <w:r>
              <w:rPr>
                <w:rFonts w:ascii="Times New Roman;Times;Serif" w:hAnsi="Times New Roman;Times;Serif"/>
                <w:sz w:val="20"/>
              </w:rPr>
              <w:t>: Tools for missions, quests, and rewarding users for actions within the app.</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Leaderboards and Referral Systems</w:t>
            </w:r>
            <w:r>
              <w:rPr>
                <w:rFonts w:ascii="Times New Roman;Times;Serif" w:hAnsi="Times New Roman;Times;Serif"/>
                <w:sz w:val="20"/>
              </w:rPr>
              <w:t>: Dynamic leaderboards to encourage competition and referral programs to drive organic growth.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frontend implementation can be customized based on GXR’s vision—either as a fully integrated experience within the existing app or through a dedicated web 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Key Features of the </w:t>
      </w:r>
      <w:r>
        <w:rPr>
          <w:rFonts w:ascii="Times New Roman;Times;Serif" w:hAnsi="Times New Roman;Times;Serif"/>
          <w:b/>
          <w:i w:val="false"/>
          <w:caps w:val="false"/>
          <w:smallCaps w:val="false"/>
          <w:spacing w:val="-2"/>
          <w:sz w:val="20"/>
        </w:rPr>
        <w:t>Integration</w:t>
      </w:r>
    </w:p>
    <w:p>
      <w:pPr>
        <w:pStyle w:val="TextBody"/>
        <w:bidi w:val="0"/>
        <w:spacing w:before="0" w:after="0"/>
        <w:ind w:left="0" w:right="0" w:hanging="0"/>
        <w:jc w:val="left"/>
        <w:rPr>
          <w:caps w:val="false"/>
          <w:smallCaps w:val="false"/>
          <w:spacing w:val="-1"/>
        </w:rPr>
      </w:pPr>
      <w:r>
        <w:rPr>
          <w:caps w:val="false"/>
          <w:smallCaps w:val="false"/>
          <w:spacing w:val="-1"/>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1.</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Real Money Gaming (RMG)</w:t>
            </w:r>
            <w:r>
              <w:rPr>
                <w:rFonts w:ascii="Times New Roman;Times;Serif" w:hAnsi="Times New Roman;Times;Serif"/>
                <w:sz w:val="20"/>
              </w:rPr>
              <w:t>: Engage users through competitions with entry fees and real-money payouts.</w:t>
            </w:r>
          </w:p>
        </w:tc>
      </w:tr>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2.</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Gamification Tools</w:t>
            </w:r>
            <w:r>
              <w:rPr>
                <w:rFonts w:ascii="Times New Roman;Times;Serif" w:hAnsi="Times New Roman;Times;Serif"/>
                <w:sz w:val="20"/>
              </w:rPr>
              <w:t>: Enhance user engagement with trivia, prediction games, missions, and quests.</w:t>
            </w:r>
          </w:p>
        </w:tc>
      </w:tr>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3.</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Seamless Wallet Functionality</w:t>
            </w:r>
            <w:r>
              <w:rPr>
                <w:rFonts w:ascii="Times New Roman;Times;Serif" w:hAnsi="Times New Roman;Times;Serif"/>
                <w:sz w:val="20"/>
              </w:rPr>
              <w:t>: Enable secure deposits, withdrawals, and intra-system money flow.</w:t>
            </w:r>
          </w:p>
        </w:tc>
      </w:tr>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4.</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User Engagement Features</w:t>
            </w:r>
            <w:r>
              <w:rPr>
                <w:rFonts w:ascii="Times New Roman;Times;Serif" w:hAnsi="Times New Roman;Times;Serif"/>
                <w:sz w:val="20"/>
              </w:rPr>
              <w:t>: Leaderboards, referral incentives, and achievement tracking to create a competitive and rewarding experience.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Value Proposition for GXR </w:t>
      </w:r>
      <w:r>
        <w:rPr>
          <w:rFonts w:ascii="Times New Roman;Times;Serif" w:hAnsi="Times New Roman;Times;Serif"/>
          <w:b/>
          <w:i w:val="false"/>
          <w:caps w:val="false"/>
          <w:smallCaps w:val="false"/>
          <w:spacing w:val="-2"/>
          <w:sz w:val="20"/>
        </w:rPr>
        <w:t>Users</w:t>
      </w:r>
    </w:p>
    <w:p>
      <w:pPr>
        <w:pStyle w:val="TextBody"/>
        <w:bidi w:val="0"/>
        <w:spacing w:before="0" w:after="0"/>
        <w:ind w:left="0" w:right="0" w:hanging="0"/>
        <w:jc w:val="left"/>
        <w:rPr>
          <w:caps w:val="false"/>
          <w:smallCaps w:val="false"/>
          <w:spacing w:val="-1"/>
        </w:rPr>
      </w:pPr>
      <w:r>
        <w:rPr>
          <w:caps w:val="false"/>
          <w:smallCaps w:val="false"/>
          <w:spacing w:val="-1"/>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1.</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Enhanced Engagement</w:t>
            </w:r>
            <w:r>
              <w:rPr>
                <w:rFonts w:ascii="Times New Roman;Times;Serif" w:hAnsi="Times New Roman;Times;Serif"/>
                <w:sz w:val="20"/>
              </w:rPr>
              <w:t>: By introducing interactive trivia, prediction games, and rewarding actions, users stay engaged with the app during and beyond live matches.</w:t>
            </w:r>
          </w:p>
        </w:tc>
      </w:tr>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2.</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Monetization Opportunities</w:t>
            </w:r>
            <w:r>
              <w:rPr>
                <w:rFonts w:ascii="Times New Roman;Times;Serif" w:hAnsi="Times New Roman;Times;Serif"/>
                <w:sz w:val="20"/>
              </w:rPr>
              <w:t>: The RMG system incentivizes users to participate in competitions, creating additional revenue streams for GXR.</w:t>
            </w:r>
          </w:p>
        </w:tc>
      </w:tr>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3.</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Personalized Rewards and Recognition</w:t>
            </w:r>
            <w:r>
              <w:rPr>
                <w:rFonts w:ascii="Times New Roman;Times;Serif" w:hAnsi="Times New Roman;Times;Serif"/>
                <w:sz w:val="20"/>
              </w:rPr>
              <w:t>: Leaderboards, achievements, and referral incentives add a layer of personalization, driving user retention and satisfaction.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integration not only deepens user interaction with the platform but also positions GXR as a comprehensive entertainment hub for fans of La Liga, Serie A, and beyond.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2. </w:t>
      </w:r>
      <w:r>
        <w:rPr>
          <w:rFonts w:ascii="Times New Roman;Times;Serif" w:hAnsi="Times New Roman;Times;Serif"/>
          <w:b w:val="false"/>
          <w:i w:val="false"/>
          <w:caps w:val="false"/>
          <w:smallCaps w:val="false"/>
          <w:sz w:val="20"/>
        </w:rPr>
        <w:t xml:space="preserve">Scope of </w:t>
      </w:r>
      <w:r>
        <w:rPr>
          <w:rFonts w:ascii="Times New Roman;Times;Serif" w:hAnsi="Times New Roman;Times;Serif"/>
          <w:b w:val="false"/>
          <w:i w:val="false"/>
          <w:caps w:val="false"/>
          <w:smallCaps w:val="false"/>
          <w:spacing w:val="-2"/>
          <w:sz w:val="20"/>
        </w:rPr>
        <w:t>Integration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the GXR </w:t>
      </w:r>
      <w:r>
        <w:rPr>
          <w:rFonts w:ascii="Times New Roman;Times;Serif" w:hAnsi="Times New Roman;Times;Serif"/>
          <w:b/>
          <w:i w:val="false"/>
          <w:caps w:val="false"/>
          <w:smallCaps w:val="false"/>
          <w:spacing w:val="-2"/>
          <w:sz w:val="20"/>
        </w:rPr>
        <w:t>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Galaxy Racer (GXR) is a streaming platform in India that broadcasts La Liga and Serie A matches. It offers fans a rich viewing experience with live streams, match highlights, and other football-related content, catering to a growing audience of football enthusiasts.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of </w:t>
      </w:r>
      <w:r>
        <w:rPr>
          <w:rFonts w:ascii="Times New Roman;Times;Serif" w:hAnsi="Times New Roman;Times;Serif"/>
          <w:b/>
          <w:i w:val="false"/>
          <w:caps w:val="false"/>
          <w:smallCaps w:val="false"/>
          <w:spacing w:val="-2"/>
          <w:sz w:val="20"/>
        </w:rPr>
        <w:t>Specter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Specter is a Backend-as-a-Service (BAaaS) platform designed for gaming and gamification. It provides robust features like wallet management, seamless payment gateway integrations (e.g., Razorpay, Stripe, PayU), and support for RMG systems. Specter also handles event tracking, leaderboards, and engagement tools to boost user interaction.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Specific Use Cases for </w:t>
      </w:r>
      <w:r>
        <w:rPr>
          <w:rFonts w:ascii="Times New Roman;Times;Serif" w:hAnsi="Times New Roman;Times;Serif"/>
          <w:b/>
          <w:i w:val="false"/>
          <w:caps w:val="false"/>
          <w:smallCaps w:val="false"/>
          <w:spacing w:val="-5"/>
          <w:sz w:val="20"/>
        </w:rPr>
        <w:t>GXR</w:t>
      </w:r>
    </w:p>
    <w:p>
      <w:pPr>
        <w:pStyle w:val="TextBody"/>
        <w:bidi w:val="0"/>
        <w:spacing w:before="0" w:after="0"/>
        <w:ind w:left="0" w:right="0" w:hanging="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1.</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Trivia During Live Matches</w:t>
            </w:r>
            <w:r>
              <w:rPr>
                <w:rFonts w:ascii="Times New Roman;Times;Serif" w:hAnsi="Times New Roman;Times;Serif"/>
                <w:sz w:val="20"/>
              </w:rPr>
              <w:t>: Engaging fans with real-time trivia questions related to ongoing games.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2.</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Prediction Games</w:t>
            </w:r>
            <w:r>
              <w:rPr>
                <w:rFonts w:ascii="Times New Roman;Times;Serif" w:hAnsi="Times New Roman;Times;Serif"/>
                <w:sz w:val="20"/>
              </w:rPr>
              <w:t xml:space="preserve">: Allowing users to make predictions about match outcomes and win </w:t>
            </w:r>
            <w:r>
              <w:rPr>
                <w:rFonts w:ascii="Times New Roman;Times;Serif" w:hAnsi="Times New Roman;Times;Serif"/>
                <w:spacing w:val="-2"/>
                <w:sz w:val="20"/>
              </w:rPr>
              <w:t>rewards.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3.</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Competitive Gaming Formats</w:t>
            </w:r>
            <w:r>
              <w:rPr>
                <w:rFonts w:ascii="Times New Roman;Times;Serif" w:hAnsi="Times New Roman;Times;Serif"/>
                <w:sz w:val="20"/>
              </w:rPr>
              <w:t>: Introducing tournaments and matches for fans to compete and earn prizes.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Specter team will assist GXR in implementing and managing gamification features and LiveOps to ensure smooth user engagement.</w:t>
      </w:r>
    </w:p>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75"/>
        <w:gridCol w:w="170"/>
        <w:gridCol w:w="98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Gamification Elements</w:t>
            </w:r>
            <w:r>
              <w:rPr>
                <w:rFonts w:ascii="Times New Roman;Times;Serif" w:hAnsi="Times New Roman;Times;Serif"/>
                <w:sz w:val="20"/>
              </w:rPr>
              <w:t>: Integration of missions, achievements, leaderboards, and reward systems.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LiveOps Execution</w:t>
            </w:r>
            <w:r>
              <w:rPr>
                <w:rFonts w:ascii="Times New Roman;Times;Serif" w:hAnsi="Times New Roman;Times;Serif"/>
                <w:sz w:val="20"/>
              </w:rPr>
              <w:t>: Management of real-time events, competitions, and updates to interactive features.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Competitive Systems Management</w:t>
            </w:r>
            <w:r>
              <w:rPr>
                <w:rFonts w:ascii="Times New Roman;Times;Serif" w:hAnsi="Times New Roman;Times;Serif"/>
                <w:sz w:val="20"/>
              </w:rPr>
              <w:t>: Handling operational workflows for tournaments, prize pools, and result validation.</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3. </w:t>
      </w:r>
      <w:r>
        <w:rPr>
          <w:rFonts w:ascii="Times New Roman;Times;Serif" w:hAnsi="Times New Roman;Times;Serif"/>
          <w:b w:val="false"/>
          <w:i w:val="false"/>
          <w:caps w:val="false"/>
          <w:smallCaps w:val="false"/>
          <w:sz w:val="20"/>
        </w:rPr>
        <w:t xml:space="preserve">Integration </w:t>
      </w:r>
      <w:r>
        <w:rPr>
          <w:rFonts w:ascii="Times New Roman;Times;Serif" w:hAnsi="Times New Roman;Times;Serif"/>
          <w:b w:val="false"/>
          <w:i w:val="false"/>
          <w:caps w:val="false"/>
          <w:smallCaps w:val="false"/>
          <w:spacing w:val="-4"/>
          <w:sz w:val="20"/>
        </w:rPr>
        <w:t>Flow</w:t>
      </w:r>
    </w:p>
    <w:p>
      <w:pPr>
        <w:pStyle w:val="TextBody"/>
        <w:bidi w:val="0"/>
        <w:spacing w:before="0" w:after="0"/>
        <w:ind w:left="0" w:right="0" w:hanging="0"/>
        <w:jc w:val="left"/>
        <w:rPr>
          <w:caps w:val="false"/>
          <w:smallCaps w:val="false"/>
          <w:spacing w:val="-2"/>
        </w:rPr>
      </w:pPr>
      <w:r>
        <w:rPr>
          <w:caps w:val="false"/>
          <w:smallCaps w:val="false"/>
          <w:spacing w:val="-2"/>
        </w:rPr>
        <w:t> </w:t>
      </w:r>
    </w:p>
    <w:p>
      <w:pPr>
        <w:pStyle w:val="TextBody"/>
        <w:bidi w:val="0"/>
        <w:spacing w:before="0" w:after="0"/>
        <w:ind w:left="360" w:right="0"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Technical Architecture Diagram</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jc w:val="center"/>
        <w:rPr>
          <w:caps w:val="false"/>
          <w:smallCaps w:val="false"/>
        </w:rPr>
      </w:pPr>
      <w:r>
        <w:rPr>
          <w:caps w:val="false"/>
          <w:smallCaps w:val="false"/>
        </w:rPr>
        <w:drawing>
          <wp:inline distT="0" distB="0" distL="0" distR="0">
            <wp:extent cx="6943725" cy="5943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5"/>
                    <a:stretch>
                      <a:fillRect/>
                    </a:stretch>
                  </pic:blipFill>
                  <pic:spPr bwMode="auto">
                    <a:xfrm>
                      <a:off x="0" y="0"/>
                      <a:ext cx="6943725" cy="59436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Key Components </w:t>
      </w:r>
      <w:r>
        <w:rPr>
          <w:rFonts w:ascii="Times New Roman;Times;Serif" w:hAnsi="Times New Roman;Times;Serif"/>
          <w:b/>
          <w:i w:val="false"/>
          <w:caps w:val="false"/>
          <w:smallCaps w:val="false"/>
          <w:spacing w:val="-2"/>
          <w:sz w:val="20"/>
        </w:rPr>
        <w:t>Involved</w:t>
      </w:r>
    </w:p>
    <w:p>
      <w:pPr>
        <w:pStyle w:val="TextBody"/>
        <w:bidi w:val="0"/>
        <w:spacing w:before="0" w:after="0"/>
        <w:ind w:left="0" w:right="0" w:hanging="0"/>
        <w:jc w:val="left"/>
        <w:rPr>
          <w:caps w:val="false"/>
          <w:smallCaps w:val="false"/>
          <w:spacing w:val="-1"/>
        </w:rPr>
      </w:pPr>
      <w:r>
        <w:rPr>
          <w:caps w:val="false"/>
          <w:smallCaps w:val="false"/>
          <w:spacing w:val="-1"/>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1. </w:t>
      </w:r>
      <w:r>
        <w:rPr>
          <w:rFonts w:ascii="Times New Roman;Times;Serif" w:hAnsi="Times New Roman;Times;Serif"/>
          <w:b/>
          <w:i w:val="false"/>
          <w:caps w:val="false"/>
          <w:smallCaps w:val="false"/>
          <w:spacing w:val="-2"/>
          <w:sz w:val="20"/>
        </w:rPr>
        <w:t>User</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2938" w:type="dxa"/>
        <w:jc w:val="left"/>
        <w:tblInd w:w="0" w:type="dxa"/>
        <w:tblLayout w:type="fixed"/>
        <w:tblCellMar>
          <w:top w:w="0" w:type="dxa"/>
          <w:left w:w="0" w:type="dxa"/>
          <w:bottom w:w="0" w:type="dxa"/>
          <w:right w:w="0" w:type="dxa"/>
        </w:tblCellMar>
      </w:tblPr>
      <w:tblGrid>
        <w:gridCol w:w="75"/>
        <w:gridCol w:w="170"/>
        <w:gridCol w:w="269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End user accessing the GXR </w:t>
            </w:r>
            <w:r>
              <w:rPr>
                <w:rFonts w:ascii="Times New Roman;Times;Serif" w:hAnsi="Times New Roman;Times;Serif"/>
                <w:spacing w:val="-4"/>
                <w:sz w:val="20"/>
              </w:rPr>
              <w:t>app.</w:t>
            </w:r>
          </w:p>
        </w:tc>
      </w:tr>
    </w:tbl>
    <w:p>
      <w:pPr>
        <w:pStyle w:val="TextBody"/>
        <w:bidi w:val="0"/>
        <w:spacing w:before="0" w:after="0"/>
        <w:ind w:left="0" w:right="0" w:hanging="0"/>
        <w:jc w:val="left"/>
        <w:rPr>
          <w:caps w:val="false"/>
          <w:smallCaps w:val="false"/>
          <w:spacing w:val="-1"/>
        </w:rPr>
      </w:pPr>
      <w:r>
        <w:rPr>
          <w:caps w:val="false"/>
          <w:smallCaps w:val="false"/>
          <w:spacing w:val="-1"/>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2. </w:t>
      </w:r>
      <w:r>
        <w:rPr>
          <w:rFonts w:ascii="Times New Roman;Times;Serif" w:hAnsi="Times New Roman;Times;Serif"/>
          <w:b/>
          <w:i w:val="false"/>
          <w:caps w:val="false"/>
          <w:smallCaps w:val="false"/>
          <w:sz w:val="20"/>
        </w:rPr>
        <w:t xml:space="preserve">GXR </w:t>
      </w:r>
      <w:r>
        <w:rPr>
          <w:rFonts w:ascii="Times New Roman;Times;Serif" w:hAnsi="Times New Roman;Times;Serif"/>
          <w:b/>
          <w:i w:val="false"/>
          <w:caps w:val="false"/>
          <w:smallCaps w:val="false"/>
          <w:spacing w:val="-2"/>
          <w:sz w:val="20"/>
        </w:rPr>
        <w:t>Frontend</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7305" w:type="dxa"/>
        <w:jc w:val="left"/>
        <w:tblInd w:w="0" w:type="dxa"/>
        <w:tblLayout w:type="fixed"/>
        <w:tblCellMar>
          <w:top w:w="0" w:type="dxa"/>
          <w:left w:w="0" w:type="dxa"/>
          <w:bottom w:w="0" w:type="dxa"/>
          <w:right w:w="0" w:type="dxa"/>
        </w:tblCellMar>
      </w:tblPr>
      <w:tblGrid>
        <w:gridCol w:w="75"/>
        <w:gridCol w:w="170"/>
        <w:gridCol w:w="70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Mobile app interface through which the user interacts (e.g., trivia, tournaments, </w:t>
            </w:r>
            <w:r>
              <w:rPr>
                <w:rFonts w:ascii="Times New Roman;Times;Serif" w:hAnsi="Times New Roman;Times;Serif"/>
                <w:spacing w:val="-2"/>
                <w:sz w:val="20"/>
              </w:rPr>
              <w:t>wallet).</w:t>
            </w:r>
          </w:p>
        </w:tc>
      </w:tr>
    </w:tbl>
    <w:p>
      <w:pPr>
        <w:pStyle w:val="TextBody"/>
        <w:bidi w:val="0"/>
        <w:spacing w:before="0" w:after="0"/>
        <w:ind w:left="0" w:right="0" w:hanging="0"/>
        <w:jc w:val="left"/>
        <w:rPr>
          <w:caps w:val="false"/>
          <w:smallCaps w:val="false"/>
          <w:spacing w:val="-1"/>
        </w:rPr>
      </w:pPr>
      <w:r>
        <w:rPr>
          <w:caps w:val="false"/>
          <w:smallCaps w:val="false"/>
          <w:spacing w:val="-1"/>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3. </w:t>
      </w:r>
      <w:r>
        <w:rPr>
          <w:rFonts w:ascii="Times New Roman;Times;Serif" w:hAnsi="Times New Roman;Times;Serif"/>
          <w:b/>
          <w:i w:val="false"/>
          <w:caps w:val="false"/>
          <w:smallCaps w:val="false"/>
          <w:sz w:val="20"/>
        </w:rPr>
        <w:t xml:space="preserve">Social </w:t>
      </w:r>
      <w:r>
        <w:rPr>
          <w:rFonts w:ascii="Times New Roman;Times;Serif" w:hAnsi="Times New Roman;Times;Serif"/>
          <w:b/>
          <w:i w:val="false"/>
          <w:caps w:val="false"/>
          <w:smallCaps w:val="false"/>
          <w:spacing w:val="-2"/>
          <w:sz w:val="20"/>
        </w:rPr>
        <w:t>Backend</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6200" w:type="dxa"/>
        <w:jc w:val="left"/>
        <w:tblInd w:w="0" w:type="dxa"/>
        <w:tblLayout w:type="fixed"/>
        <w:tblCellMar>
          <w:top w:w="0" w:type="dxa"/>
          <w:left w:w="0" w:type="dxa"/>
          <w:bottom w:w="0" w:type="dxa"/>
          <w:right w:w="0" w:type="dxa"/>
        </w:tblCellMar>
      </w:tblPr>
      <w:tblGrid>
        <w:gridCol w:w="75"/>
        <w:gridCol w:w="170"/>
        <w:gridCol w:w="5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Handles social layer and validates users with Specter API auth </w:t>
            </w:r>
            <w:r>
              <w:rPr>
                <w:rFonts w:ascii="Times New Roman;Times;Serif" w:hAnsi="Times New Roman;Times;Serif"/>
                <w:spacing w:val="-2"/>
                <w:sz w:val="20"/>
              </w:rPr>
              <w:t>validation.</w:t>
            </w:r>
          </w:p>
        </w:tc>
      </w:tr>
    </w:tbl>
    <w:p>
      <w:pPr>
        <w:pStyle w:val="TextBody"/>
        <w:bidi w:val="0"/>
        <w:spacing w:before="0" w:after="0"/>
        <w:ind w:left="0" w:right="0" w:hanging="0"/>
        <w:jc w:val="left"/>
        <w:rPr>
          <w:caps w:val="false"/>
          <w:smallCaps w:val="false"/>
          <w:spacing w:val="-1"/>
        </w:rPr>
      </w:pPr>
      <w:r>
        <w:rPr>
          <w:caps w:val="false"/>
          <w:smallCaps w:val="false"/>
          <w:spacing w:val="-1"/>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4. </w:t>
      </w:r>
      <w:r>
        <w:rPr>
          <w:rFonts w:ascii="Times New Roman;Times;Serif" w:hAnsi="Times New Roman;Times;Serif"/>
          <w:b/>
          <w:i w:val="false"/>
          <w:caps w:val="false"/>
          <w:smallCaps w:val="false"/>
          <w:sz w:val="20"/>
        </w:rPr>
        <w:t xml:space="preserve">Specter </w:t>
      </w:r>
      <w:r>
        <w:rPr>
          <w:rFonts w:ascii="Times New Roman;Times;Serif" w:hAnsi="Times New Roman;Times;Serif"/>
          <w:b/>
          <w:i w:val="false"/>
          <w:caps w:val="false"/>
          <w:smallCaps w:val="false"/>
          <w:spacing w:val="-2"/>
          <w:sz w:val="20"/>
        </w:rPr>
        <w:t>APIs</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170"/>
        <w:gridCol w:w="8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Key integration layer managing RMG features, wallet operations, game mechanics, and gamification tools.</w:t>
            </w:r>
          </w:p>
        </w:tc>
      </w:tr>
    </w:tbl>
    <w:p>
      <w:pPr>
        <w:pStyle w:val="TextBody"/>
        <w:bidi w:val="0"/>
        <w:spacing w:before="0" w:after="0"/>
        <w:ind w:left="0" w:right="0" w:hanging="0"/>
        <w:jc w:val="left"/>
        <w:rPr>
          <w:caps w:val="false"/>
          <w:smallCaps w:val="false"/>
          <w:spacing w:val="-1"/>
        </w:rPr>
      </w:pPr>
      <w:r>
        <w:rPr>
          <w:caps w:val="false"/>
          <w:smallCaps w:val="false"/>
          <w:spacing w:val="-1"/>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spacing w:val="-1"/>
        </w:rPr>
      </w:pPr>
      <w:r>
        <w:rPr>
          <w:caps w:val="false"/>
          <w:smallCaps w:val="false"/>
          <w:spacing w:val="-1"/>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5. </w:t>
      </w:r>
      <w:r>
        <w:rPr>
          <w:rFonts w:ascii="Times New Roman;Times;Serif" w:hAnsi="Times New Roman;Times;Serif"/>
          <w:b/>
          <w:i w:val="false"/>
          <w:caps w:val="false"/>
          <w:smallCaps w:val="false"/>
          <w:sz w:val="20"/>
        </w:rPr>
        <w:t xml:space="preserve">Specter Admin </w:t>
      </w:r>
      <w:r>
        <w:rPr>
          <w:rFonts w:ascii="Times New Roman;Times;Serif" w:hAnsi="Times New Roman;Times;Serif"/>
          <w:b/>
          <w:i w:val="false"/>
          <w:caps w:val="false"/>
          <w:smallCaps w:val="false"/>
          <w:spacing w:val="-2"/>
          <w:sz w:val="20"/>
        </w:rPr>
        <w:t>APIs</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6677" w:type="dxa"/>
        <w:jc w:val="left"/>
        <w:tblInd w:w="0" w:type="dxa"/>
        <w:tblLayout w:type="fixed"/>
        <w:tblCellMar>
          <w:top w:w="0" w:type="dxa"/>
          <w:left w:w="0" w:type="dxa"/>
          <w:bottom w:w="0" w:type="dxa"/>
          <w:right w:w="0" w:type="dxa"/>
        </w:tblCellMar>
      </w:tblPr>
      <w:tblGrid>
        <w:gridCol w:w="75"/>
        <w:gridCol w:w="170"/>
        <w:gridCol w:w="6432"/>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Allows administrative access for managing gamification, wallets, and user </w:t>
            </w:r>
            <w:r>
              <w:rPr>
                <w:rFonts w:ascii="Times New Roman;Times;Serif" w:hAnsi="Times New Roman;Times;Serif"/>
                <w:spacing w:val="-2"/>
                <w:sz w:val="20"/>
              </w:rPr>
              <w:t>data.</w:t>
            </w:r>
          </w:p>
        </w:tc>
      </w:tr>
    </w:tbl>
    <w:p>
      <w:pPr>
        <w:pStyle w:val="TextBody"/>
        <w:bidi w:val="0"/>
        <w:spacing w:before="0" w:after="0"/>
        <w:ind w:left="0" w:right="0" w:hanging="0"/>
        <w:jc w:val="left"/>
        <w:rPr>
          <w:caps w:val="false"/>
          <w:smallCaps w:val="false"/>
          <w:spacing w:val="-1"/>
        </w:rPr>
      </w:pPr>
      <w:r>
        <w:rPr>
          <w:caps w:val="false"/>
          <w:smallCaps w:val="false"/>
          <w:spacing w:val="-1"/>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6. </w:t>
      </w:r>
      <w:r>
        <w:rPr>
          <w:rFonts w:ascii="Times New Roman;Times;Serif" w:hAnsi="Times New Roman;Times;Serif"/>
          <w:b/>
          <w:i w:val="false"/>
          <w:caps w:val="false"/>
          <w:smallCaps w:val="false"/>
          <w:sz w:val="20"/>
        </w:rPr>
        <w:t xml:space="preserve">Third-Party </w:t>
      </w:r>
      <w:r>
        <w:rPr>
          <w:rFonts w:ascii="Times New Roman;Times;Serif" w:hAnsi="Times New Roman;Times;Serif"/>
          <w:b/>
          <w:i w:val="false"/>
          <w:caps w:val="false"/>
          <w:smallCaps w:val="false"/>
          <w:spacing w:val="-2"/>
          <w:sz w:val="20"/>
        </w:rPr>
        <w:t>Integrations</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75"/>
        <w:gridCol w:w="170"/>
        <w:gridCol w:w="8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gateways (Razorpay, Stripe), AML/KYC providers, and compliance systems integrated with Specter.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architecture ensures seamless communication between the GXR platform and Specter while supporting backend operations, live updates, and third-party compliance tools.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User Journey </w:t>
      </w:r>
      <w:r>
        <w:rPr>
          <w:rFonts w:ascii="Times New Roman;Times;Serif" w:hAnsi="Times New Roman;Times;Serif"/>
          <w:b/>
          <w:i w:val="false"/>
          <w:caps w:val="false"/>
          <w:smallCaps w:val="false"/>
          <w:spacing w:val="-2"/>
          <w:sz w:val="20"/>
        </w:rPr>
        <w:t>Steps</w:t>
      </w:r>
    </w:p>
    <w:p>
      <w:pPr>
        <w:pStyle w:val="TextBody"/>
        <w:bidi w:val="0"/>
        <w:spacing w:before="0" w:after="0"/>
        <w:ind w:left="0" w:right="0" w:hanging="0"/>
        <w:jc w:val="left"/>
        <w:rPr>
          <w:caps w:val="false"/>
          <w:smallCaps w:val="false"/>
          <w:spacing w:val="-1"/>
        </w:rPr>
      </w:pPr>
      <w:r>
        <w:rPr>
          <w:caps w:val="false"/>
          <w:smallCaps w:val="false"/>
          <w:spacing w:val="-1"/>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1. </w:t>
      </w:r>
      <w:r>
        <w:rPr>
          <w:rFonts w:ascii="Times New Roman;Times;Serif" w:hAnsi="Times New Roman;Times;Serif"/>
          <w:b/>
          <w:i w:val="false"/>
          <w:caps w:val="false"/>
          <w:smallCaps w:val="false"/>
          <w:sz w:val="20"/>
        </w:rPr>
        <w:t xml:space="preserve">Joining a Game/Trivia/Prediction </w:t>
      </w:r>
      <w:r>
        <w:rPr>
          <w:rFonts w:ascii="Times New Roman;Times;Serif" w:hAnsi="Times New Roman;Times;Serif"/>
          <w:b/>
          <w:i w:val="false"/>
          <w:caps w:val="false"/>
          <w:smallCaps w:val="false"/>
          <w:spacing w:val="-2"/>
          <w:sz w:val="20"/>
        </w:rPr>
        <w:t>Session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1</w:t>
            </w:r>
            <w:r>
              <w:rPr>
                <w:rFonts w:ascii="Times New Roman;Times;Serif" w:hAnsi="Times New Roman;Times;Serif"/>
                <w:sz w:val="20"/>
              </w:rPr>
              <w:t>: The user logs into the GXR App and is authenticated through Specter and Afterthe user logs in through the app (authenticating with the Spector server), the app must call the Social API Login Event API to notify the Social API server. Upon receiving this event, the Social API server will call a REST API provided by Specter to fetch the user’s information for storage and synchronization purposes.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2</w:t>
            </w:r>
            <w:r>
              <w:rPr>
                <w:rFonts w:ascii="Times New Roman;Times;Serif" w:hAnsi="Times New Roman;Times;Serif"/>
                <w:sz w:val="20"/>
              </w:rPr>
              <w:t xml:space="preserve">: The GXR frontend fetches available matches and competitions using </w:t>
            </w:r>
            <w:r>
              <w:rPr>
                <w:rFonts w:ascii="Times New Roman;Times;Serif" w:hAnsi="Times New Roman;Times;Serif"/>
                <w:b/>
                <w:sz w:val="20"/>
              </w:rPr>
              <w:t xml:space="preserve">Specter </w:t>
            </w:r>
            <w:r>
              <w:rPr>
                <w:rFonts w:ascii="Times New Roman;Times;Serif" w:hAnsi="Times New Roman;Times;Serif"/>
                <w:b/>
                <w:spacing w:val="-2"/>
                <w:sz w:val="20"/>
              </w:rPr>
              <w:t>APIs</w:t>
            </w:r>
            <w:r>
              <w:rPr>
                <w:rFonts w:ascii="Times New Roman;Times;Serif" w:hAnsi="Times New Roman;Times;Serif"/>
                <w:spacing w:val="-2"/>
                <w:sz w:val="20"/>
              </w:rPr>
              <w: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3</w:t>
            </w:r>
            <w:r>
              <w:rPr>
                <w:rFonts w:ascii="Times New Roman;Times;Serif" w:hAnsi="Times New Roman;Times;Serif"/>
                <w:sz w:val="20"/>
              </w:rPr>
              <w:t>: The user selects a match(e.g., trivia during a live match, prediction session, or competitive tournament).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4</w:t>
            </w:r>
            <w:r>
              <w:rPr>
                <w:rFonts w:ascii="Times New Roman;Times;Serif" w:hAnsi="Times New Roman;Times;Serif"/>
                <w:sz w:val="20"/>
              </w:rPr>
              <w:t xml:space="preserve">: If it’s an RMG competition, the user proceeds to pay the </w:t>
            </w:r>
            <w:r>
              <w:rPr>
                <w:rFonts w:ascii="Times New Roman;Times;Serif" w:hAnsi="Times New Roman;Times;Serif"/>
                <w:b/>
                <w:sz w:val="20"/>
              </w:rPr>
              <w:t>entry fee</w:t>
            </w:r>
            <w:r>
              <w:rPr>
                <w:rFonts w:ascii="Times New Roman;Times;Serif" w:hAnsi="Times New Roman;Times;Serif"/>
                <w:sz w:val="20"/>
              </w:rPr>
              <w:t xml:space="preserve"> using their in-app wallet managed by Specter.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2. </w:t>
      </w:r>
      <w:r>
        <w:rPr>
          <w:rFonts w:ascii="Times New Roman;Times;Serif" w:hAnsi="Times New Roman;Times;Serif"/>
          <w:b/>
          <w:i w:val="false"/>
          <w:caps w:val="false"/>
          <w:smallCaps w:val="false"/>
          <w:sz w:val="20"/>
        </w:rPr>
        <w:t xml:space="preserve">Participating in an RMG </w:t>
      </w:r>
      <w:r>
        <w:rPr>
          <w:rFonts w:ascii="Times New Roman;Times;Serif" w:hAnsi="Times New Roman;Times;Serif"/>
          <w:b/>
          <w:i w:val="false"/>
          <w:caps w:val="false"/>
          <w:smallCaps w:val="false"/>
          <w:spacing w:val="-2"/>
          <w:sz w:val="20"/>
        </w:rPr>
        <w:t>Competition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1</w:t>
            </w:r>
            <w:r>
              <w:rPr>
                <w:rFonts w:ascii="Times New Roman;Times;Serif" w:hAnsi="Times New Roman;Times;Serif"/>
                <w:sz w:val="20"/>
              </w:rPr>
              <w:t>: The user’s wallet balance (handled via Specter APIs) is checked to ensure sufficient funds.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2</w:t>
            </w:r>
            <w:r>
              <w:rPr>
                <w:rFonts w:ascii="Times New Roman;Times;Serif" w:hAnsi="Times New Roman;Times;Serif"/>
                <w:sz w:val="20"/>
              </w:rPr>
              <w:t xml:space="preserve">: The entry fee is deducted, and the user’s participation is </w:t>
            </w:r>
            <w:r>
              <w:rPr>
                <w:rFonts w:ascii="Times New Roman;Times;Serif" w:hAnsi="Times New Roman;Times;Serif"/>
                <w:spacing w:val="-2"/>
                <w:sz w:val="20"/>
              </w:rPr>
              <w:t>confirmed.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3</w:t>
            </w:r>
            <w:r>
              <w:rPr>
                <w:rFonts w:ascii="Times New Roman;Times;Serif" w:hAnsi="Times New Roman;Times;Serif"/>
                <w:sz w:val="20"/>
              </w:rPr>
              <w:t xml:space="preserve">: Specter sends a confirmation via </w:t>
            </w:r>
            <w:r>
              <w:rPr>
                <w:rFonts w:ascii="Times New Roman;Times;Serif" w:hAnsi="Times New Roman;Times;Serif"/>
                <w:b/>
                <w:sz w:val="20"/>
              </w:rPr>
              <w:t>webhooks</w:t>
            </w:r>
            <w:r>
              <w:rPr>
                <w:rFonts w:ascii="Times New Roman;Times;Serif" w:hAnsi="Times New Roman;Times;Serif"/>
                <w:sz w:val="20"/>
              </w:rPr>
              <w:t xml:space="preserve"> to the GXR backend, which updates the frontend for the user.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4</w:t>
            </w:r>
            <w:r>
              <w:rPr>
                <w:rFonts w:ascii="Times New Roman;Times;Serif" w:hAnsi="Times New Roman;Times;Serif"/>
                <w:sz w:val="20"/>
              </w:rPr>
              <w:t>: The user actively participates in the selected game or competition (e.g., answering trivia, submitting predictions, or competing in a tournament).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3. </w:t>
      </w:r>
      <w:r>
        <w:rPr>
          <w:rFonts w:ascii="Times New Roman;Times;Serif" w:hAnsi="Times New Roman;Times;Serif"/>
          <w:b/>
          <w:i w:val="false"/>
          <w:caps w:val="false"/>
          <w:smallCaps w:val="false"/>
          <w:sz w:val="20"/>
        </w:rPr>
        <w:t xml:space="preserve">Earning or Losing Rewards Based on </w:t>
      </w:r>
      <w:r>
        <w:rPr>
          <w:rFonts w:ascii="Times New Roman;Times;Serif" w:hAnsi="Times New Roman;Times;Serif"/>
          <w:b/>
          <w:i w:val="false"/>
          <w:caps w:val="false"/>
          <w:smallCaps w:val="false"/>
          <w:spacing w:val="-2"/>
          <w:sz w:val="20"/>
        </w:rPr>
        <w:t>Outcomes</w:t>
      </w:r>
    </w:p>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75"/>
        <w:gridCol w:w="170"/>
        <w:gridCol w:w="9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1</w:t>
            </w:r>
            <w:r>
              <w:rPr>
                <w:rFonts w:ascii="Times New Roman;Times;Serif" w:hAnsi="Times New Roman;Times;Serif"/>
                <w:sz w:val="20"/>
              </w:rPr>
              <w:t>: Specter evaluates game outcomes, processes results, and calculates winnings based on pre-defined logic.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2</w:t>
            </w:r>
            <w:r>
              <w:rPr>
                <w:rFonts w:ascii="Times New Roman;Times;Serif" w:hAnsi="Times New Roman;Times;Serif"/>
                <w:sz w:val="20"/>
              </w:rPr>
              <w:t xml:space="preserve">: Rewards or losses are updated in the user’s wallet via Specter </w:t>
            </w:r>
            <w:r>
              <w:rPr>
                <w:rFonts w:ascii="Times New Roman;Times;Serif" w:hAnsi="Times New Roman;Times;Serif"/>
                <w:spacing w:val="-2"/>
                <w:sz w:val="20"/>
              </w:rPr>
              <w:t>APIs: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Winning Scenario</w:t>
            </w:r>
            <w:r>
              <w:rPr>
                <w:rFonts w:ascii="Times New Roman;Times;Serif" w:hAnsi="Times New Roman;Times;Serif"/>
                <w:sz w:val="20"/>
              </w:rPr>
              <w:t>: Winnings are credited to the user’s wallet instantly or post review if GXR requires a manual review pre prize distribution.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Losing Scenario</w:t>
            </w:r>
            <w:r>
              <w:rPr>
                <w:rFonts w:ascii="Times New Roman;Times;Serif" w:hAnsi="Times New Roman;Times;Serif"/>
                <w:sz w:val="20"/>
              </w:rPr>
              <w:t xml:space="preserve">: No further action; participation fee remains </w:t>
            </w:r>
            <w:r>
              <w:rPr>
                <w:rFonts w:ascii="Times New Roman;Times;Serif" w:hAnsi="Times New Roman;Times;Serif"/>
                <w:spacing w:val="-2"/>
                <w:sz w:val="20"/>
              </w:rPr>
              <w:t>processed.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3</w:t>
            </w:r>
            <w:r>
              <w:rPr>
                <w:rFonts w:ascii="Times New Roman;Times;Serif" w:hAnsi="Times New Roman;Times;Serif"/>
                <w:sz w:val="20"/>
              </w:rPr>
              <w:t>: Specter triggers an event notification (via webhooks) to update the GXR app, displaying the outcome to the user (e.g., leaderboard position or game result).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4. </w:t>
      </w:r>
      <w:r>
        <w:rPr>
          <w:rFonts w:ascii="Times New Roman;Times;Serif" w:hAnsi="Times New Roman;Times;Serif"/>
          <w:b/>
          <w:i w:val="false"/>
          <w:caps w:val="false"/>
          <w:smallCaps w:val="false"/>
          <w:sz w:val="20"/>
        </w:rPr>
        <w:t xml:space="preserve">Redeeming Rewards or Withdrawing </w:t>
      </w:r>
      <w:r>
        <w:rPr>
          <w:rFonts w:ascii="Times New Roman;Times;Serif" w:hAnsi="Times New Roman;Times;Serif"/>
          <w:b/>
          <w:i w:val="false"/>
          <w:caps w:val="false"/>
          <w:smallCaps w:val="false"/>
          <w:spacing w:val="-2"/>
          <w:sz w:val="20"/>
        </w:rPr>
        <w:t>Winnings</w:t>
      </w:r>
    </w:p>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75"/>
        <w:gridCol w:w="170"/>
        <w:gridCol w:w="9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1</w:t>
            </w:r>
            <w:r>
              <w:rPr>
                <w:rFonts w:ascii="Times New Roman;Times;Serif" w:hAnsi="Times New Roman;Times;Serif"/>
                <w:sz w:val="20"/>
              </w:rPr>
              <w:t xml:space="preserve">: The user navigates to the wallet section in the GXR app to redeem </w:t>
            </w:r>
            <w:r>
              <w:rPr>
                <w:rFonts w:ascii="Times New Roman;Times;Serif" w:hAnsi="Times New Roman;Times;Serif"/>
                <w:spacing w:val="-2"/>
                <w:sz w:val="20"/>
              </w:rPr>
              <w:t>winnings.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2</w:t>
            </w:r>
            <w:r>
              <w:rPr>
                <w:rFonts w:ascii="Times New Roman;Times;Serif" w:hAnsi="Times New Roman;Times;Serif"/>
                <w:sz w:val="20"/>
              </w:rPr>
              <w:t>: The user initiates a withdrawal request, selecting a preferred payment method (e.g., UPI, bank transfer).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3</w:t>
            </w:r>
            <w:r>
              <w:rPr>
                <w:rFonts w:ascii="Times New Roman;Times;Serif" w:hAnsi="Times New Roman;Times;Serif"/>
                <w:sz w:val="20"/>
              </w:rPr>
              <w:t xml:space="preserve">: Specter processes the withdrawal request through integrated </w:t>
            </w:r>
            <w:r>
              <w:rPr>
                <w:rFonts w:ascii="Times New Roman;Times;Serif" w:hAnsi="Times New Roman;Times;Serif"/>
                <w:b/>
                <w:sz w:val="20"/>
              </w:rPr>
              <w:t xml:space="preserve">payment gateways </w:t>
            </w:r>
            <w:r>
              <w:rPr>
                <w:rFonts w:ascii="Times New Roman;Times;Serif" w:hAnsi="Times New Roman;Times;Serif"/>
                <w:sz w:val="20"/>
              </w:rPr>
              <w:t>(Razorpay, Stripe, PayU, etc.).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Step 4</w:t>
            </w:r>
            <w:r>
              <w:rPr>
                <w:rFonts w:ascii="Times New Roman;Times;Serif" w:hAnsi="Times New Roman;Times;Serif"/>
                <w:sz w:val="20"/>
              </w:rPr>
              <w:t>: Funds are transferred to the user’s account, and the transaction status is updated in real-time via Specter webhooks.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Summary</w:t>
      </w:r>
    </w:p>
    <w:p>
      <w:pPr>
        <w:pStyle w:val="TextBody"/>
        <w:bidi w:val="0"/>
        <w:spacing w:before="0" w:after="0"/>
        <w:ind w:left="0" w:right="0" w:hanging="0"/>
        <w:jc w:val="left"/>
        <w:rPr>
          <w:caps w:val="false"/>
          <w:smallCaps w:val="false"/>
        </w:rPr>
      </w:pPr>
      <w:r>
        <w:rPr>
          <w:caps w:val="false"/>
          <w:smallCaps w:val="false"/>
        </w:rPr>
        <w:t> </w:t>
      </w:r>
    </w:p>
    <w:tbl>
      <w:tblPr>
        <w:tblW w:w="7142" w:type="dxa"/>
        <w:jc w:val="left"/>
        <w:tblInd w:w="0" w:type="dxa"/>
        <w:tblLayout w:type="fixed"/>
        <w:tblCellMar>
          <w:top w:w="0" w:type="dxa"/>
          <w:left w:w="0" w:type="dxa"/>
          <w:bottom w:w="0" w:type="dxa"/>
          <w:right w:w="0" w:type="dxa"/>
        </w:tblCellMar>
      </w:tblPr>
      <w:tblGrid>
        <w:gridCol w:w="75"/>
        <w:gridCol w:w="170"/>
        <w:gridCol w:w="689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Joining</w:t>
            </w:r>
            <w:r>
              <w:rPr>
                <w:rFonts w:ascii="Times New Roman;Times;Serif" w:hAnsi="Times New Roman;Times;Serif"/>
                <w:sz w:val="20"/>
              </w:rPr>
              <w:t xml:space="preserve">: User is authenticated on </w:t>
            </w:r>
            <w:r>
              <w:rPr>
                <w:rFonts w:ascii="Times New Roman;Times;Serif" w:hAnsi="Times New Roman;Times;Serif"/>
                <w:b/>
                <w:sz w:val="20"/>
              </w:rPr>
              <w:t>GXR</w:t>
            </w:r>
            <w:r>
              <w:rPr>
                <w:rFonts w:ascii="Times New Roman;Times;Serif" w:hAnsi="Times New Roman;Times;Serif"/>
                <w:sz w:val="20"/>
              </w:rPr>
              <w:t xml:space="preserve"> and </w:t>
            </w:r>
            <w:r>
              <w:rPr>
                <w:rFonts w:ascii="Times New Roman;Times;Serif" w:hAnsi="Times New Roman;Times;Serif"/>
                <w:b/>
                <w:sz w:val="20"/>
              </w:rPr>
              <w:t>Specter</w:t>
            </w:r>
            <w:r>
              <w:rPr>
                <w:rFonts w:ascii="Times New Roman;Times;Serif" w:hAnsi="Times New Roman;Times;Serif"/>
                <w:sz w:val="20"/>
              </w:rPr>
              <w:t xml:space="preserve">, ensuring a secure </w:t>
            </w:r>
            <w:r>
              <w:rPr>
                <w:rFonts w:ascii="Times New Roman;Times;Serif" w:hAnsi="Times New Roman;Times;Serif"/>
                <w:spacing w:val="-2"/>
                <w:sz w:val="20"/>
              </w:rPr>
              <w:t>start.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Participation</w:t>
            </w:r>
            <w:r>
              <w:rPr>
                <w:rFonts w:ascii="Times New Roman;Times;Serif" w:hAnsi="Times New Roman;Times;Serif"/>
                <w:sz w:val="20"/>
              </w:rPr>
              <w:t xml:space="preserve">: Seamless entry into trivia, predictions, or tournaments with entry </w:t>
            </w:r>
            <w:r>
              <w:rPr>
                <w:rFonts w:ascii="Times New Roman;Times;Serif" w:hAnsi="Times New Roman;Times;Serif"/>
                <w:spacing w:val="-2"/>
                <w:sz w:val="20"/>
              </w:rPr>
              <w:t>fees.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Results</w:t>
            </w:r>
            <w:r>
              <w:rPr>
                <w:rFonts w:ascii="Times New Roman;Times;Serif" w:hAnsi="Times New Roman;Times;Serif"/>
                <w:sz w:val="20"/>
              </w:rPr>
              <w:t xml:space="preserve">: Rewards (winnings) or losses are updated securely in the user’s </w:t>
            </w:r>
            <w:r>
              <w:rPr>
                <w:rFonts w:ascii="Times New Roman;Times;Serif" w:hAnsi="Times New Roman;Times;Serif"/>
                <w:spacing w:val="-2"/>
                <w:sz w:val="20"/>
              </w:rPr>
              <w:t>wallet.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Withdrawal</w:t>
            </w:r>
            <w:r>
              <w:rPr>
                <w:rFonts w:ascii="Times New Roman;Times;Serif" w:hAnsi="Times New Roman;Times;Serif"/>
                <w:sz w:val="20"/>
              </w:rPr>
              <w:t xml:space="preserve">: Easy redemption of winnings through integrated payment </w:t>
            </w:r>
            <w:r>
              <w:rPr>
                <w:rFonts w:ascii="Times New Roman;Times;Serif" w:hAnsi="Times New Roman;Times;Serif"/>
                <w:spacing w:val="-2"/>
                <w:sz w:val="20"/>
              </w:rPr>
              <w:t>gateways.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API Requirements for Specter-GXR </w:t>
      </w:r>
      <w:r>
        <w:rPr>
          <w:rFonts w:ascii="Times New Roman;Times;Serif" w:hAnsi="Times New Roman;Times;Serif"/>
          <w:b/>
          <w:i w:val="false"/>
          <w:caps w:val="false"/>
          <w:smallCaps w:val="false"/>
          <w:spacing w:val="-2"/>
          <w:sz w:val="20"/>
        </w:rPr>
        <w:t>Integration</w:t>
      </w:r>
    </w:p>
    <w:p>
      <w:pPr>
        <w:pStyle w:val="TextBody"/>
        <w:bidi w:val="0"/>
        <w:spacing w:before="0" w:after="0"/>
        <w:ind w:left="0" w:right="0" w:hanging="0"/>
        <w:jc w:val="left"/>
        <w:rPr>
          <w:caps w:val="false"/>
          <w:smallCaps w:val="false"/>
          <w:spacing w:val="-1"/>
        </w:rPr>
      </w:pPr>
      <w:r>
        <w:rPr>
          <w:caps w:val="false"/>
          <w:smallCaps w:val="false"/>
          <w:spacing w:val="-1"/>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1. </w:t>
      </w:r>
      <w:r>
        <w:rPr>
          <w:rFonts w:ascii="Times New Roman;Times;Serif" w:hAnsi="Times New Roman;Times;Serif"/>
          <w:b/>
          <w:i w:val="false"/>
          <w:caps w:val="false"/>
          <w:smallCaps w:val="false"/>
          <w:sz w:val="20"/>
        </w:rPr>
        <w:t xml:space="preserve">Authentication &amp; User </w:t>
      </w:r>
      <w:r>
        <w:rPr>
          <w:rFonts w:ascii="Times New Roman;Times;Serif" w:hAnsi="Times New Roman;Times;Serif"/>
          <w:b/>
          <w:i w:val="false"/>
          <w:caps w:val="false"/>
          <w:smallCaps w:val="false"/>
          <w:spacing w:val="-2"/>
          <w:sz w:val="20"/>
        </w:rPr>
        <w:t>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manage user onboarding and authentication seamlessly across GXR and Specter </w:t>
      </w:r>
      <w:r>
        <w:rPr>
          <w:rFonts w:ascii="Times New Roman;Times;Serif" w:hAnsi="Times New Roman;Times;Serif"/>
          <w:b w:val="false"/>
          <w:i w:val="false"/>
          <w:caps w:val="false"/>
          <w:smallCaps w:val="false"/>
          <w:spacing w:val="-2"/>
          <w:sz w:val="20"/>
        </w:rPr>
        <w:t>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APIs </w:t>
      </w:r>
      <w:r>
        <w:rPr>
          <w:rFonts w:ascii="Times New Roman;Times;Serif" w:hAnsi="Times New Roman;Times;Serif"/>
          <w:b/>
          <w:i w:val="false"/>
          <w:caps w:val="false"/>
          <w:smallCaps w:val="false"/>
          <w:spacing w:val="-2"/>
          <w:sz w:val="20"/>
        </w:rPr>
        <w:t>Required</w:t>
      </w:r>
      <w:r>
        <w:rPr>
          <w:rFonts w:ascii="Times New Roman;Times;Serif" w:hAnsi="Times New Roman;Times;Serif"/>
          <w:b w:val="false"/>
          <w:i w:val="false"/>
          <w:caps w:val="false"/>
          <w:smallCaps w:val="false"/>
          <w:spacing w:val="-2"/>
          <w:sz w:val="20"/>
        </w:rPr>
        <w:t>:</w:t>
      </w:r>
    </w:p>
    <w:p>
      <w:pPr>
        <w:pStyle w:val="TextBody"/>
        <w:bidi w:val="0"/>
        <w:spacing w:before="0" w:after="0"/>
        <w:ind w:left="360" w:right="0" w:hanging="0"/>
        <w:jc w:val="left"/>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75"/>
        <w:gridCol w:w="170"/>
        <w:gridCol w:w="3208"/>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08" w:type="dxa"/>
            <w:tcBorders/>
            <w:vAlign w:val="center"/>
          </w:tcPr>
          <w:p>
            <w:pPr>
              <w:pStyle w:val="TableContents"/>
              <w:bidi w:val="0"/>
              <w:spacing w:before="0" w:after="283"/>
              <w:jc w:val="left"/>
              <w:rPr/>
            </w:pPr>
            <w:r>
              <w:rPr>
                <w:rFonts w:ascii="Times New Roman;Times;Serif" w:hAnsi="Times New Roman;Times;Serif"/>
                <w:spacing w:val="-2"/>
                <w:sz w:val="20"/>
              </w:rPr>
              <w:t>Auth/Sign up with Custom</w:t>
            </w:r>
            <w:r>
              <w:rPr/>
              <w:t xml:space="preserve"> </w:t>
            </w:r>
            <w:r>
              <w:rPr>
                <w:rFonts w:ascii="Times New Roman;Times;Serif" w:hAnsi="Times New Roman;Times;Serif"/>
                <w:spacing w:val="-5"/>
                <w:sz w:val="20"/>
              </w:rPr>
              <w:t>ID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08" w:type="dxa"/>
            <w:tcBorders/>
            <w:vAlign w:val="center"/>
          </w:tcPr>
          <w:p>
            <w:pPr>
              <w:pStyle w:val="TableContents"/>
              <w:bidi w:val="0"/>
              <w:spacing w:before="0" w:after="283"/>
              <w:jc w:val="left"/>
              <w:rPr/>
            </w:pPr>
            <w:r>
              <w:rPr>
                <w:rFonts w:ascii="Times New Roman;Times;Serif" w:hAnsi="Times New Roman;Times;Serif"/>
                <w:spacing w:val="-2"/>
                <w:sz w:val="20"/>
              </w:rPr>
              <w:t>Auth/Login with Custom</w:t>
            </w:r>
            <w:r>
              <w:rPr/>
              <w:t xml:space="preserve"> </w:t>
            </w:r>
            <w:r>
              <w:rPr>
                <w:rFonts w:ascii="Times New Roman;Times;Serif" w:hAnsi="Times New Roman;Times;Serif"/>
                <w:spacing w:val="-5"/>
                <w:sz w:val="20"/>
              </w:rPr>
              <w:t>ID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08" w:type="dxa"/>
            <w:tcBorders/>
            <w:vAlign w:val="center"/>
          </w:tcPr>
          <w:p>
            <w:pPr>
              <w:pStyle w:val="TableContents"/>
              <w:bidi w:val="0"/>
              <w:spacing w:before="0" w:after="283"/>
              <w:jc w:val="left"/>
              <w:rPr/>
            </w:pPr>
            <w:r>
              <w:rPr>
                <w:rFonts w:ascii="Times New Roman;Times;Serif" w:hAnsi="Times New Roman;Times;Serif"/>
                <w:spacing w:val="-2"/>
                <w:sz w:val="20"/>
              </w:rPr>
              <w:t>(Optional) Auth/Sign up with</w:t>
            </w:r>
            <w:r>
              <w:rPr/>
              <w:t xml:space="preserve"> </w:t>
            </w:r>
            <w:r>
              <w:rPr>
                <w:rFonts w:ascii="Times New Roman;Times;Serif" w:hAnsi="Times New Roman;Times;Serif"/>
                <w:spacing w:val="-4"/>
                <w:sz w:val="20"/>
              </w:rPr>
              <w:t>Email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08" w:type="dxa"/>
            <w:tcBorders/>
            <w:vAlign w:val="center"/>
          </w:tcPr>
          <w:p>
            <w:pPr>
              <w:pStyle w:val="TableContents"/>
              <w:bidi w:val="0"/>
              <w:spacing w:before="0" w:after="283"/>
              <w:jc w:val="left"/>
              <w:rPr/>
            </w:pPr>
            <w:r>
              <w:rPr>
                <w:rFonts w:ascii="Times New Roman;Times;Serif" w:hAnsi="Times New Roman;Times;Serif"/>
                <w:spacing w:val="-2"/>
                <w:sz w:val="20"/>
              </w:rPr>
              <w:t>(Optional) Auth/Login with</w:t>
            </w:r>
            <w:r>
              <w:rPr/>
              <w:t xml:space="preserve"> </w:t>
            </w:r>
            <w:r>
              <w:rPr>
                <w:rFonts w:ascii="Times New Roman;Times;Serif" w:hAnsi="Times New Roman;Times;Serif"/>
                <w:spacing w:val="-4"/>
                <w:sz w:val="20"/>
              </w:rPr>
              <w:t>Email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08"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(Optional) Auth/Sign up with Username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08"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(Optional) Auth/Login with Username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Usage by </w:t>
      </w:r>
      <w:r>
        <w:rPr>
          <w:rFonts w:ascii="Times New Roman;Times;Serif" w:hAnsi="Times New Roman;Times;Serif"/>
          <w:b/>
          <w:i w:val="false"/>
          <w:caps w:val="false"/>
          <w:smallCaps w:val="false"/>
          <w:spacing w:val="-4"/>
          <w:sz w:val="20"/>
        </w:rPr>
        <w:t>GXR</w:t>
      </w:r>
      <w:r>
        <w:rPr>
          <w:rFonts w:ascii="Times New Roman;Times;Serif" w:hAnsi="Times New Roman;Times;Serif"/>
          <w:b w:val="false"/>
          <w:i w:val="false"/>
          <w:caps w:val="false"/>
          <w:smallCaps w:val="false"/>
          <w:spacing w:val="-4"/>
          <w:sz w:val="20"/>
        </w:rPr>
        <w:t>:</w:t>
      </w:r>
    </w:p>
    <w:p>
      <w:pPr>
        <w:pStyle w:val="TextBody"/>
        <w:bidi w:val="0"/>
        <w:spacing w:before="0" w:after="0"/>
        <w:ind w:left="0" w:right="0" w:hanging="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170"/>
        <w:gridCol w:w="96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Since GXR will already authenticate users on their platform, </w:t>
            </w:r>
            <w:r>
              <w:rPr>
                <w:rFonts w:ascii="Times New Roman;Times;Serif" w:hAnsi="Times New Roman;Times;Serif"/>
                <w:b/>
                <w:sz w:val="20"/>
              </w:rPr>
              <w:t>Custom ID</w:t>
            </w:r>
            <w:r>
              <w:rPr>
                <w:rFonts w:ascii="Times New Roman;Times;Serif" w:hAnsi="Times New Roman;Times;Serif"/>
                <w:sz w:val="20"/>
              </w:rPr>
              <w:t xml:space="preserve"> is the best fit for a double-authentication flow.</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GXR can generate a unique Custom ID for each authenticated user and pass it to Specter during login/signup.</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Additional verification steps like </w:t>
            </w:r>
            <w:r>
              <w:rPr>
                <w:rFonts w:ascii="Times New Roman;Times;Serif" w:hAnsi="Times New Roman;Times;Serif"/>
                <w:b/>
                <w:sz w:val="20"/>
              </w:rPr>
              <w:t>OTP verification</w:t>
            </w:r>
            <w:r>
              <w:rPr>
                <w:rFonts w:ascii="Times New Roman;Times;Serif" w:hAnsi="Times New Roman;Times;Serif"/>
                <w:sz w:val="20"/>
              </w:rPr>
              <w:t xml:space="preserve"> can be handled on GXR’s end before logging in users to Specter.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methods (Email, Username) can also be used if GXR prefers or already has similar mechanisms in place.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2. </w:t>
      </w:r>
      <w:r>
        <w:rPr>
          <w:rFonts w:ascii="Times New Roman;Times;Serif" w:hAnsi="Times New Roman;Times;Serif"/>
          <w:b/>
          <w:i w:val="false"/>
          <w:caps w:val="false"/>
          <w:smallCaps w:val="false"/>
          <w:sz w:val="20"/>
        </w:rPr>
        <w:t xml:space="preserve">Wallet Management (Deposits, Withdrawals, and </w:t>
      </w:r>
      <w:r>
        <w:rPr>
          <w:rFonts w:ascii="Times New Roman;Times;Serif" w:hAnsi="Times New Roman;Times;Serif"/>
          <w:b/>
          <w:i w:val="false"/>
          <w:caps w:val="false"/>
          <w:smallCaps w:val="false"/>
          <w:spacing w:val="-2"/>
          <w:sz w:val="20"/>
        </w:rPr>
        <w:t>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handling user wallets, validating transactions, and enabling real-money gaming (RMG) operations seamlessly.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APIs </w:t>
      </w:r>
      <w:r>
        <w:rPr>
          <w:rFonts w:ascii="Times New Roman;Times;Serif" w:hAnsi="Times New Roman;Times;Serif"/>
          <w:b/>
          <w:i w:val="false"/>
          <w:caps w:val="false"/>
          <w:smallCaps w:val="false"/>
          <w:spacing w:val="-2"/>
          <w:sz w:val="20"/>
        </w:rPr>
        <w:t>Required</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2531" w:type="dxa"/>
        <w:jc w:val="left"/>
        <w:tblInd w:w="0" w:type="dxa"/>
        <w:tblLayout w:type="fixed"/>
        <w:tblCellMar>
          <w:top w:w="0" w:type="dxa"/>
          <w:left w:w="0" w:type="dxa"/>
          <w:bottom w:w="0" w:type="dxa"/>
          <w:right w:w="0" w:type="dxa"/>
        </w:tblCellMar>
      </w:tblPr>
      <w:tblGrid>
        <w:gridCol w:w="75"/>
        <w:gridCol w:w="170"/>
        <w:gridCol w:w="228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6" w:type="dxa"/>
            <w:tcBorders/>
            <w:vAlign w:val="center"/>
          </w:tcPr>
          <w:p>
            <w:pPr>
              <w:pStyle w:val="TableContents"/>
              <w:bidi w:val="0"/>
              <w:spacing w:before="0" w:after="283"/>
              <w:jc w:val="left"/>
              <w:rPr/>
            </w:pPr>
            <w:r>
              <w:rPr>
                <w:rFonts w:ascii="Times New Roman;Times;Serif" w:hAnsi="Times New Roman;Times;Serif"/>
                <w:spacing w:val="-1"/>
                <w:sz w:val="20"/>
              </w:rPr>
              <w:t>Wallet/Validat</w:t>
            </w:r>
            <w:r>
              <w:rPr>
                <w:rFonts w:ascii="Times New Roman;Times;Serif" w:hAnsi="Times New Roman;Times;Serif"/>
                <w:sz w:val="20"/>
              </w:rPr>
              <w:t xml:space="preserve">e </w:t>
            </w:r>
            <w:r>
              <w:rPr>
                <w:rFonts w:ascii="Times New Roman;Times;Serif" w:hAnsi="Times New Roman;Times;Serif"/>
                <w:spacing w:val="-2"/>
                <w:sz w:val="20"/>
              </w:rPr>
              <w:t>Deposit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6" w:type="dxa"/>
            <w:tcBorders/>
            <w:vAlign w:val="center"/>
          </w:tcPr>
          <w:p>
            <w:pPr>
              <w:pStyle w:val="TableContents"/>
              <w:bidi w:val="0"/>
              <w:spacing w:before="0" w:after="283"/>
              <w:jc w:val="left"/>
              <w:rPr/>
            </w:pPr>
            <w:r>
              <w:rPr>
                <w:rFonts w:ascii="Times New Roman;Times;Serif" w:hAnsi="Times New Roman;Times;Serif"/>
                <w:spacing w:val="-3"/>
                <w:sz w:val="20"/>
              </w:rPr>
              <w:t>Wallet/Deposi</w:t>
            </w:r>
            <w:r>
              <w:rPr>
                <w:rFonts w:ascii="Times New Roman;Times;Serif" w:hAnsi="Times New Roman;Times;Serif"/>
                <w:spacing w:val="-2"/>
                <w:sz w:val="20"/>
              </w:rPr>
              <w:t>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6" w:type="dxa"/>
            <w:tcBorders/>
            <w:vAlign w:val="center"/>
          </w:tcPr>
          <w:p>
            <w:pPr>
              <w:pStyle w:val="TableContents"/>
              <w:bidi w:val="0"/>
              <w:spacing w:before="0" w:after="283"/>
              <w:jc w:val="left"/>
              <w:rPr/>
            </w:pPr>
            <w:r>
              <w:rPr>
                <w:rFonts w:ascii="Times New Roman;Times;Serif" w:hAnsi="Times New Roman;Times;Serif"/>
                <w:spacing w:val="-1"/>
                <w:sz w:val="20"/>
              </w:rPr>
              <w:t>Wallet/Validat</w:t>
            </w:r>
            <w:r>
              <w:rPr>
                <w:rFonts w:ascii="Times New Roman;Times;Serif" w:hAnsi="Times New Roman;Times;Serif"/>
                <w:sz w:val="20"/>
              </w:rPr>
              <w:t xml:space="preserve">e </w:t>
            </w:r>
            <w:r>
              <w:rPr>
                <w:rFonts w:ascii="Times New Roman;Times;Serif" w:hAnsi="Times New Roman;Times;Serif"/>
                <w:spacing w:val="-2"/>
                <w:sz w:val="20"/>
              </w:rPr>
              <w:t>Withdrawal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6" w:type="dxa"/>
            <w:tcBorders/>
            <w:vAlign w:val="center"/>
          </w:tcPr>
          <w:p>
            <w:pPr>
              <w:pStyle w:val="TableContents"/>
              <w:bidi w:val="0"/>
              <w:spacing w:before="0" w:after="283"/>
              <w:jc w:val="left"/>
              <w:rPr/>
            </w:pPr>
            <w:r>
              <w:rPr>
                <w:rFonts w:ascii="Times New Roman;Times;Serif" w:hAnsi="Times New Roman;Times;Serif"/>
                <w:spacing w:val="-3"/>
                <w:sz w:val="20"/>
              </w:rPr>
              <w:t>Wallet/Withdra</w:t>
            </w:r>
            <w:r>
              <w:rPr>
                <w:rFonts w:ascii="Times New Roman;Times;Serif" w:hAnsi="Times New Roman;Times;Serif"/>
                <w:spacing w:val="-2"/>
                <w:sz w:val="20"/>
              </w:rPr>
              <w:t>w</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Player/Get </w:t>
            </w:r>
            <w:r>
              <w:rPr>
                <w:rFonts w:ascii="Times New Roman;Times;Serif" w:hAnsi="Times New Roman;Times;Serif"/>
                <w:spacing w:val="-1"/>
                <w:sz w:val="20"/>
              </w:rPr>
              <w:t>Walle</w:t>
            </w:r>
            <w:r>
              <w:rPr>
                <w:rFonts w:ascii="Times New Roman;Times;Serif" w:hAnsi="Times New Roman;Times;Serif"/>
                <w:sz w:val="20"/>
              </w:rPr>
              <w:t xml:space="preserve">t </w:t>
            </w:r>
            <w:r>
              <w:rPr>
                <w:rFonts w:ascii="Times New Roman;Times;Serif" w:hAnsi="Times New Roman;Times;Serif"/>
                <w:spacing w:val="-2"/>
                <w:sz w:val="20"/>
              </w:rPr>
              <w:t>Balance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Player/Get </w:t>
            </w:r>
            <w:r>
              <w:rPr>
                <w:rFonts w:ascii="Times New Roman;Times;Serif" w:hAnsi="Times New Roman;Times;Serif"/>
                <w:spacing w:val="-1"/>
                <w:sz w:val="20"/>
              </w:rPr>
              <w:t>Walle</w:t>
            </w:r>
            <w:r>
              <w:rPr>
                <w:rFonts w:ascii="Times New Roman;Times;Serif" w:hAnsi="Times New Roman;Times;Serif"/>
                <w:sz w:val="20"/>
              </w:rPr>
              <w:t xml:space="preserve">t </w:t>
            </w:r>
            <w:r>
              <w:rPr>
                <w:rFonts w:ascii="Times New Roman;Times;Serif" w:hAnsi="Times New Roman;Times;Serif"/>
                <w:spacing w:val="-2"/>
                <w:sz w:val="20"/>
              </w:rPr>
              <w:t>History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6" w:type="dxa"/>
            <w:tcBorders/>
            <w:vAlign w:val="center"/>
          </w:tcPr>
          <w:p>
            <w:pPr>
              <w:pStyle w:val="TableContents"/>
              <w:bidi w:val="0"/>
              <w:spacing w:before="0" w:after="283"/>
              <w:jc w:val="left"/>
              <w:rPr/>
            </w:pPr>
            <w:r>
              <w:rPr>
                <w:rFonts w:ascii="Times New Roman;Times;Serif" w:hAnsi="Times New Roman;Times;Serif"/>
                <w:spacing w:val="-1"/>
                <w:sz w:val="20"/>
              </w:rPr>
              <w:t>Wallet/Updat</w:t>
            </w:r>
            <w:r>
              <w:rPr>
                <w:rFonts w:ascii="Times New Roman;Times;Serif" w:hAnsi="Times New Roman;Times;Serif"/>
                <w:sz w:val="20"/>
              </w:rPr>
              <w:t xml:space="preserve">e </w:t>
            </w:r>
            <w:r>
              <w:rPr>
                <w:rFonts w:ascii="Times New Roman;Times;Serif" w:hAnsi="Times New Roman;Times;Serif"/>
                <w:spacing w:val="-2"/>
                <w:sz w:val="20"/>
              </w:rPr>
              <w:t>Balance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Usage by </w:t>
      </w:r>
      <w:r>
        <w:rPr>
          <w:rFonts w:ascii="Times New Roman;Times;Serif" w:hAnsi="Times New Roman;Times;Serif"/>
          <w:b/>
          <w:i w:val="false"/>
          <w:caps w:val="false"/>
          <w:smallCaps w:val="false"/>
          <w:spacing w:val="-4"/>
          <w:sz w:val="20"/>
        </w:rPr>
        <w:t>GXR</w:t>
      </w:r>
      <w:r>
        <w:rPr>
          <w:rFonts w:ascii="Times New Roman;Times;Serif" w:hAnsi="Times New Roman;Times;Serif"/>
          <w:b w:val="false"/>
          <w:i w:val="false"/>
          <w:caps w:val="false"/>
          <w:smallCaps w:val="false"/>
          <w:spacing w:val="-4"/>
          <w:sz w:val="20"/>
        </w:rPr>
        <w:t>:</w:t>
      </w:r>
    </w:p>
    <w:p>
      <w:pPr>
        <w:pStyle w:val="TextBody"/>
        <w:bidi w:val="0"/>
        <w:spacing w:before="0" w:after="0"/>
        <w:ind w:left="0" w:right="0" w:hanging="0"/>
        <w:jc w:val="left"/>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75"/>
        <w:gridCol w:w="170"/>
        <w:gridCol w:w="92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Validate and process deposits into user wallets </w:t>
            </w:r>
            <w:r>
              <w:rPr>
                <w:rFonts w:ascii="Times New Roman;Times;Serif" w:hAnsi="Times New Roman;Times;Serif"/>
                <w:spacing w:val="-2"/>
                <w:sz w:val="20"/>
              </w:rPr>
              <w:t>securely.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Validate and process withdrawals, ensuring proper checks before funds are </w:t>
            </w:r>
            <w:r>
              <w:rPr>
                <w:rFonts w:ascii="Times New Roman;Times;Serif" w:hAnsi="Times New Roman;Times;Serif"/>
                <w:spacing w:val="-2"/>
                <w:sz w:val="20"/>
              </w:rPr>
              <w:t>transferred.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Fetch and display wallet balances for users in real </w:t>
            </w:r>
            <w:r>
              <w:rPr>
                <w:rFonts w:ascii="Times New Roman;Times;Serif" w:hAnsi="Times New Roman;Times;Serif"/>
                <w:spacing w:val="-2"/>
                <w:sz w:val="20"/>
              </w:rPr>
              <w:t>time.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Show wallet transaction history, including deposits, withdrawals, and in-app </w:t>
            </w:r>
            <w:r>
              <w:rPr>
                <w:rFonts w:ascii="Times New Roman;Times;Serif" w:hAnsi="Times New Roman;Times;Serif"/>
                <w:spacing w:val="-2"/>
                <w:sz w:val="20"/>
              </w:rPr>
              <w:t>spending.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Update wallet balances when needed for specific use cases and manual </w:t>
            </w:r>
            <w:r>
              <w:rPr>
                <w:rFonts w:ascii="Times New Roman;Times;Serif" w:hAnsi="Times New Roman;Times;Serif"/>
                <w:spacing w:val="-2"/>
                <w:sz w:val="20"/>
              </w:rPr>
              <w:t>adjustments.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Enable smooth money movement within the system for RMG competitions (e.g., entry fees and prize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3. </w:t>
      </w:r>
      <w:r>
        <w:rPr>
          <w:rFonts w:ascii="Times New Roman;Times;Serif" w:hAnsi="Times New Roman;Times;Serif"/>
          <w:b/>
          <w:i w:val="false"/>
          <w:caps w:val="false"/>
          <w:smallCaps w:val="false"/>
          <w:sz w:val="20"/>
        </w:rPr>
        <w:t xml:space="preserve">Game </w:t>
      </w:r>
      <w:r>
        <w:rPr>
          <w:rFonts w:ascii="Times New Roman;Times;Serif" w:hAnsi="Times New Roman;Times;Serif"/>
          <w:b/>
          <w:i w:val="false"/>
          <w:caps w:val="false"/>
          <w:smallCaps w:val="false"/>
          <w:spacing w:val="-2"/>
          <w:sz w:val="20"/>
        </w:rPr>
        <w:t>Mechanics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support trivia, prediction games, tournaments, and competitive </w:t>
      </w:r>
      <w:r>
        <w:rPr>
          <w:rFonts w:ascii="Times New Roman;Times;Serif" w:hAnsi="Times New Roman;Times;Serif"/>
          <w:b w:val="false"/>
          <w:i w:val="false"/>
          <w:caps w:val="false"/>
          <w:smallCaps w:val="false"/>
          <w:spacing w:val="-2"/>
          <w:sz w:val="20"/>
        </w:rPr>
        <w:t>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APIs </w:t>
      </w:r>
      <w:r>
        <w:rPr>
          <w:rFonts w:ascii="Times New Roman;Times;Serif" w:hAnsi="Times New Roman;Times;Serif"/>
          <w:b/>
          <w:i w:val="false"/>
          <w:caps w:val="false"/>
          <w:smallCaps w:val="false"/>
          <w:spacing w:val="-2"/>
          <w:sz w:val="20"/>
        </w:rPr>
        <w:t>Required</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3442" w:type="dxa"/>
        <w:jc w:val="left"/>
        <w:tblInd w:w="0" w:type="dxa"/>
        <w:tblLayout w:type="fixed"/>
        <w:tblCellMar>
          <w:top w:w="0" w:type="dxa"/>
          <w:left w:w="0" w:type="dxa"/>
          <w:bottom w:w="0" w:type="dxa"/>
          <w:right w:w="0" w:type="dxa"/>
        </w:tblCellMar>
      </w:tblPr>
      <w:tblGrid>
        <w:gridCol w:w="75"/>
        <w:gridCol w:w="170"/>
        <w:gridCol w:w="319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App/Get </w:t>
            </w:r>
            <w:r>
              <w:rPr>
                <w:rFonts w:ascii="Times New Roman;Times;Serif" w:hAnsi="Times New Roman;Times;Serif"/>
                <w:spacing w:val="-2"/>
                <w:sz w:val="20"/>
              </w:rPr>
              <w:t>Matches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App/Get </w:t>
            </w:r>
            <w:r>
              <w:rPr>
                <w:rFonts w:ascii="Times New Roman;Times;Serif" w:hAnsi="Times New Roman;Times;Serif"/>
                <w:spacing w:val="-2"/>
                <w:sz w:val="20"/>
              </w:rPr>
              <w:t>Tournaments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Competition/Enter </w:t>
            </w:r>
            <w:r>
              <w:rPr>
                <w:rFonts w:ascii="Times New Roman;Times;Serif" w:hAnsi="Times New Roman;Times;Serif"/>
                <w:spacing w:val="-2"/>
                <w:sz w:val="20"/>
              </w:rPr>
              <w:t>Competition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Competition/Post Score to </w:t>
            </w:r>
            <w:r>
              <w:rPr>
                <w:rFonts w:ascii="Times New Roman;Times;Serif" w:hAnsi="Times New Roman;Times;Serif"/>
                <w:spacing w:val="-2"/>
                <w:sz w:val="20"/>
              </w:rPr>
              <w:t>Tournament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Competition/Get Tournament </w:t>
            </w:r>
            <w:r>
              <w:rPr>
                <w:rFonts w:ascii="Times New Roman;Times;Serif" w:hAnsi="Times New Roman;Times;Serif"/>
                <w:spacing w:val="-2"/>
                <w:sz w:val="20"/>
              </w:rPr>
              <w:t>Result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Competition/Get Tournament </w:t>
            </w:r>
            <w:r>
              <w:rPr>
                <w:rFonts w:ascii="Times New Roman;Times;Serif" w:hAnsi="Times New Roman;Times;Serif"/>
                <w:spacing w:val="-2"/>
                <w:sz w:val="20"/>
              </w:rPr>
              <w:t>Ranking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97"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Matches/Create Match Session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97"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Matches/Start Match Session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Matches/End Match </w:t>
            </w:r>
            <w:r>
              <w:rPr>
                <w:rFonts w:ascii="Times New Roman;Times;Serif" w:hAnsi="Times New Roman;Times;Serif"/>
                <w:spacing w:val="-2"/>
                <w:sz w:val="20"/>
              </w:rPr>
              <w:t>Session</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Usage by </w:t>
      </w:r>
      <w:r>
        <w:rPr>
          <w:rFonts w:ascii="Times New Roman;Times;Serif" w:hAnsi="Times New Roman;Times;Serif"/>
          <w:b/>
          <w:i w:val="false"/>
          <w:caps w:val="false"/>
          <w:smallCaps w:val="false"/>
          <w:spacing w:val="-4"/>
          <w:sz w:val="20"/>
        </w:rPr>
        <w:t>GXR</w:t>
      </w:r>
      <w:r>
        <w:rPr>
          <w:rFonts w:ascii="Times New Roman;Times;Serif" w:hAnsi="Times New Roman;Times;Serif"/>
          <w:b w:val="false"/>
          <w:i w:val="false"/>
          <w:caps w:val="false"/>
          <w:smallCaps w:val="false"/>
          <w:spacing w:val="-4"/>
          <w:sz w:val="20"/>
        </w:rPr>
        <w:t>:</w:t>
      </w:r>
    </w:p>
    <w:p>
      <w:pPr>
        <w:pStyle w:val="TextBody"/>
        <w:bidi w:val="0"/>
        <w:spacing w:before="0" w:after="0"/>
        <w:ind w:left="0" w:right="0" w:hanging="0"/>
        <w:jc w:val="left"/>
        <w:rPr>
          <w:caps w:val="false"/>
          <w:smallCaps w:val="false"/>
        </w:rPr>
      </w:pPr>
      <w:r>
        <w:rPr>
          <w:caps w:val="false"/>
          <w:smallCaps w:val="false"/>
        </w:rPr>
        <w:t> </w:t>
      </w:r>
    </w:p>
    <w:tbl>
      <w:tblPr>
        <w:tblW w:w="5619" w:type="dxa"/>
        <w:jc w:val="left"/>
        <w:tblInd w:w="0" w:type="dxa"/>
        <w:tblLayout w:type="fixed"/>
        <w:tblCellMar>
          <w:top w:w="0" w:type="dxa"/>
          <w:left w:w="0" w:type="dxa"/>
          <w:bottom w:w="0" w:type="dxa"/>
          <w:right w:w="0" w:type="dxa"/>
        </w:tblCellMar>
      </w:tblPr>
      <w:tblGrid>
        <w:gridCol w:w="75"/>
        <w:gridCol w:w="170"/>
        <w:gridCol w:w="5374"/>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Retrieve and display ongoing matches, tournaments and </w:t>
            </w:r>
            <w:r>
              <w:rPr>
                <w:rFonts w:ascii="Times New Roman;Times;Serif" w:hAnsi="Times New Roman;Times;Serif"/>
                <w:spacing w:val="-2"/>
                <w:sz w:val="20"/>
              </w:rPr>
              <w:t>rankings.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Allow users to enter RMG competitions (e.g., trivia, </w:t>
            </w:r>
            <w:r>
              <w:rPr>
                <w:rFonts w:ascii="Times New Roman;Times;Serif" w:hAnsi="Times New Roman;Times;Serif"/>
                <w:spacing w:val="-2"/>
                <w:sz w:val="20"/>
              </w:rPr>
              <w:t>predictions).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Manage game sessions (create, start, and </w:t>
            </w:r>
            <w:r>
              <w:rPr>
                <w:rFonts w:ascii="Times New Roman;Times;Serif" w:hAnsi="Times New Roman;Times;Serif"/>
                <w:spacing w:val="-2"/>
                <w:sz w:val="20"/>
              </w:rPr>
              <w:t>end).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Post scores and retrieve tournament </w:t>
            </w:r>
            <w:r>
              <w:rPr>
                <w:rFonts w:ascii="Times New Roman;Times;Serif" w:hAnsi="Times New Roman;Times;Serif"/>
                <w:spacing w:val="-2"/>
                <w:sz w:val="20"/>
              </w:rPr>
              <w:t>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4. </w:t>
      </w:r>
      <w:r>
        <w:rPr>
          <w:rFonts w:ascii="Times New Roman;Times;Serif" w:hAnsi="Times New Roman;Times;Serif"/>
          <w:b/>
          <w:i w:val="false"/>
          <w:caps w:val="false"/>
          <w:smallCaps w:val="false"/>
          <w:sz w:val="20"/>
        </w:rPr>
        <w:t xml:space="preserve">Event Triggers and </w:t>
      </w:r>
      <w:r>
        <w:rPr>
          <w:rFonts w:ascii="Times New Roman;Times;Serif" w:hAnsi="Times New Roman;Times;Serif"/>
          <w:b/>
          <w:i w:val="false"/>
          <w:caps w:val="false"/>
          <w:smallCaps w:val="false"/>
          <w:spacing w:val="-2"/>
          <w:sz w:val="20"/>
        </w:rPr>
        <w:t>Leaderboards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enabling dynamic events, tracking progress, and rewarding </w:t>
      </w:r>
      <w:r>
        <w:rPr>
          <w:rFonts w:ascii="Times New Roman;Times;Serif" w:hAnsi="Times New Roman;Times;Serif"/>
          <w:b w:val="false"/>
          <w:i w:val="false"/>
          <w:caps w:val="false"/>
          <w:smallCaps w:val="false"/>
          <w:spacing w:val="-2"/>
          <w:sz w:val="20"/>
        </w:rPr>
        <w:t>users: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APIs </w:t>
      </w:r>
      <w:r>
        <w:rPr>
          <w:rFonts w:ascii="Times New Roman;Times;Serif" w:hAnsi="Times New Roman;Times;Serif"/>
          <w:b/>
          <w:i w:val="false"/>
          <w:caps w:val="false"/>
          <w:smallCaps w:val="false"/>
          <w:spacing w:val="-2"/>
          <w:sz w:val="20"/>
        </w:rPr>
        <w:t>Required</w:t>
      </w:r>
      <w:r>
        <w:rPr>
          <w:rFonts w:ascii="Times New Roman;Times;Serif" w:hAnsi="Times New Roman;Times;Serif"/>
          <w:b w:val="false"/>
          <w:i w:val="false"/>
          <w:caps w:val="false"/>
          <w:smallCaps w:val="false"/>
          <w:spacing w:val="-2"/>
          <w:sz w:val="20"/>
        </w:rPr>
        <w:t>:</w:t>
      </w:r>
    </w:p>
    <w:p>
      <w:pPr>
        <w:pStyle w:val="TextBody"/>
        <w:bidi w:val="0"/>
        <w:spacing w:before="0" w:after="0"/>
        <w:ind w:left="360" w:right="0" w:hanging="0"/>
        <w:jc w:val="left"/>
        <w:rPr>
          <w:caps w:val="false"/>
          <w:smallCaps w:val="false"/>
          <w:spacing w:val="-2"/>
        </w:rPr>
      </w:pPr>
      <w:r>
        <w:rPr>
          <w:caps w:val="false"/>
          <w:smallCaps w:val="false"/>
          <w:spacing w:val="-2"/>
        </w:rPr>
        <w:t> </w:t>
      </w:r>
    </w:p>
    <w:tbl>
      <w:tblPr>
        <w:tblW w:w="3492" w:type="dxa"/>
        <w:jc w:val="left"/>
        <w:tblInd w:w="0" w:type="dxa"/>
        <w:tblLayout w:type="fixed"/>
        <w:tblCellMar>
          <w:top w:w="0" w:type="dxa"/>
          <w:left w:w="0" w:type="dxa"/>
          <w:bottom w:w="0" w:type="dxa"/>
          <w:right w:w="0" w:type="dxa"/>
        </w:tblCellMar>
      </w:tblPr>
      <w:tblGrid>
        <w:gridCol w:w="75"/>
        <w:gridCol w:w="170"/>
        <w:gridCol w:w="324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Events/Send Custom </w:t>
            </w:r>
            <w:r>
              <w:rPr>
                <w:rFonts w:ascii="Times New Roman;Times;Serif" w:hAnsi="Times New Roman;Times;Serif"/>
                <w:spacing w:val="-2"/>
                <w:sz w:val="20"/>
              </w:rPr>
              <w:t>Event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7"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Leaderboards/Post Score to Leaderboard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7"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Leaderboards/Get Leaderboard Details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7"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Leaderboards/Get Leaderboard Results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Player/Get Player </w:t>
            </w:r>
            <w:r>
              <w:rPr>
                <w:rFonts w:ascii="Times New Roman;Times;Serif" w:hAnsi="Times New Roman;Times;Serif"/>
                <w:spacing w:val="-2"/>
                <w:sz w:val="20"/>
              </w:rPr>
              <w:t>Progress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Progression/Update </w:t>
            </w:r>
            <w:r>
              <w:rPr>
                <w:rFonts w:ascii="Times New Roman;Times;Serif" w:hAnsi="Times New Roman;Times;Serif"/>
                <w:spacing w:val="-2"/>
                <w:sz w:val="20"/>
              </w:rPr>
              <w:t>Marker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Achievements/Grant </w:t>
            </w:r>
            <w:r>
              <w:rPr>
                <w:rFonts w:ascii="Times New Roman;Times;Serif" w:hAnsi="Times New Roman;Times;Serif"/>
                <w:spacing w:val="-2"/>
                <w:sz w:val="20"/>
              </w:rPr>
              <w:t>Reward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Usage by </w:t>
      </w:r>
      <w:r>
        <w:rPr>
          <w:rFonts w:ascii="Times New Roman;Times;Serif" w:hAnsi="Times New Roman;Times;Serif"/>
          <w:b/>
          <w:i w:val="false"/>
          <w:caps w:val="false"/>
          <w:smallCaps w:val="false"/>
          <w:spacing w:val="-4"/>
          <w:sz w:val="20"/>
        </w:rPr>
        <w:t>GXR</w:t>
      </w:r>
      <w:r>
        <w:rPr>
          <w:rFonts w:ascii="Times New Roman;Times;Serif" w:hAnsi="Times New Roman;Times;Serif"/>
          <w:b w:val="false"/>
          <w:i w:val="false"/>
          <w:caps w:val="false"/>
          <w:smallCaps w:val="false"/>
          <w:spacing w:val="-4"/>
          <w:sz w:val="20"/>
        </w:rPr>
        <w:t>:</w:t>
      </w:r>
    </w:p>
    <w:p>
      <w:pPr>
        <w:pStyle w:val="TextBody"/>
        <w:bidi w:val="0"/>
        <w:spacing w:before="0" w:after="0"/>
        <w:ind w:left="0" w:right="0" w:hanging="0"/>
        <w:jc w:val="left"/>
        <w:rPr>
          <w:caps w:val="false"/>
          <w:smallCaps w:val="false"/>
          <w:spacing w:val="-4"/>
        </w:rPr>
      </w:pPr>
      <w:r>
        <w:rPr>
          <w:caps w:val="false"/>
          <w:smallCaps w:val="false"/>
          <w:spacing w:val="-4"/>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Track user actions like completing trivia, winning predictions, or competing in </w:t>
            </w:r>
            <w:r>
              <w:rPr>
                <w:rFonts w:ascii="Times New Roman;Times;Serif" w:hAnsi="Times New Roman;Times;Serif"/>
                <w:spacing w:val="-2"/>
                <w:sz w:val="20"/>
              </w:rPr>
              <w:t>matches.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Send events to Specter to trigger rewards or achievements. </w:t>
            </w:r>
            <w:r>
              <w:rPr>
                <w:rFonts w:ascii="Times New Roman;Times;Serif" w:hAnsi="Times New Roman;Times;Serif"/>
                <w:b/>
                <w:sz w:val="20"/>
              </w:rPr>
              <w:t xml:space="preserve">Every API fires an event but custom events can be used for actions not defined by Specter </w:t>
            </w:r>
            <w:r>
              <w:rPr>
                <w:rFonts w:ascii="Times New Roman;Times;Serif" w:hAnsi="Times New Roman;Times;Serif"/>
                <w:b/>
                <w:spacing w:val="-2"/>
                <w:sz w:val="20"/>
              </w:rPr>
              <w:t>APIs.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Update and display leaderboard standings in real </w:t>
            </w:r>
            <w:r>
              <w:rPr>
                <w:rFonts w:ascii="Times New Roman;Times;Serif" w:hAnsi="Times New Roman;Times;Serif"/>
                <w:spacing w:val="-2"/>
                <w:sz w:val="20"/>
              </w:rPr>
              <w:t>time.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Grant rewards based on user achievements and </w:t>
            </w:r>
            <w:r>
              <w:rPr>
                <w:rFonts w:ascii="Times New Roman;Times;Serif" w:hAnsi="Times New Roman;Times;Serif"/>
                <w:spacing w:val="-2"/>
                <w:sz w:val="20"/>
              </w:rPr>
              <w:t>outcomes.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5. </w:t>
      </w:r>
      <w:r>
        <w:rPr>
          <w:rFonts w:ascii="Times New Roman;Times;Serif" w:hAnsi="Times New Roman;Times;Serif"/>
          <w:b/>
          <w:i w:val="false"/>
          <w:caps w:val="false"/>
          <w:smallCaps w:val="false"/>
          <w:sz w:val="20"/>
        </w:rPr>
        <w:t xml:space="preserve">Badges and Inventory </w:t>
      </w:r>
      <w:r>
        <w:rPr>
          <w:rFonts w:ascii="Times New Roman;Times;Serif" w:hAnsi="Times New Roman;Times;Serif"/>
          <w:b/>
          <w:i w:val="false"/>
          <w:caps w:val="false"/>
          <w:smallCaps w:val="false"/>
          <w:spacing w:val="-2"/>
          <w:sz w:val="20"/>
        </w:rPr>
        <w:t>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Specter provides APIs to manage user inventories, which can be utilized for features like badges, achievements, and rewards on the GXR platform.</w:t>
      </w:r>
    </w:p>
    <w:p>
      <w:pPr>
        <w:pStyle w:val="TextBody"/>
        <w:bidi w:val="0"/>
        <w:spacing w:before="0" w:after="0"/>
        <w:ind w:left="0" w:right="0" w:hanging="0"/>
        <w:jc w:val="left"/>
        <w:rPr>
          <w:caps w:val="false"/>
          <w:smallCaps w:val="false"/>
          <w:spacing w:val="-1"/>
        </w:rPr>
      </w:pPr>
      <w:r>
        <w:rPr>
          <w:caps w:val="false"/>
          <w:smallCaps w:val="false"/>
          <w:spacing w:val="-1"/>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1. </w:t>
      </w:r>
      <w:r>
        <w:rPr>
          <w:rFonts w:ascii="Times New Roman;Times;Serif" w:hAnsi="Times New Roman;Times;Serif"/>
          <w:b/>
          <w:i w:val="false"/>
          <w:caps w:val="false"/>
          <w:smallCaps w:val="false"/>
          <w:sz w:val="20"/>
        </w:rPr>
        <w:t xml:space="preserve">API </w:t>
      </w:r>
      <w:r>
        <w:rPr>
          <w:rFonts w:ascii="Times New Roman;Times;Serif" w:hAnsi="Times New Roman;Times;Serif"/>
          <w:b/>
          <w:i w:val="false"/>
          <w:caps w:val="false"/>
          <w:smallCaps w:val="false"/>
          <w:spacing w:val="-2"/>
          <w:sz w:val="20"/>
        </w:rPr>
        <w:t>Required</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3893" w:type="dxa"/>
        <w:jc w:val="left"/>
        <w:tblInd w:w="0" w:type="dxa"/>
        <w:tblLayout w:type="fixed"/>
        <w:tblCellMar>
          <w:top w:w="0" w:type="dxa"/>
          <w:left w:w="0" w:type="dxa"/>
          <w:bottom w:w="0" w:type="dxa"/>
          <w:right w:w="0" w:type="dxa"/>
        </w:tblCellMar>
      </w:tblPr>
      <w:tblGrid>
        <w:gridCol w:w="75"/>
        <w:gridCol w:w="170"/>
        <w:gridCol w:w="3648"/>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48" w:type="dxa"/>
            <w:tcBorders/>
            <w:vAlign w:val="center"/>
          </w:tcPr>
          <w:p>
            <w:pPr>
              <w:pStyle w:val="TableContents"/>
              <w:bidi w:val="0"/>
              <w:spacing w:before="0" w:after="283"/>
              <w:jc w:val="left"/>
              <w:rPr>
                <w:rFonts w:ascii="Times New Roman;Times;Serif" w:hAnsi="Times New Roman;Times;Serif"/>
                <w:spacing w:val="-2"/>
                <w:sz w:val="20"/>
              </w:rPr>
            </w:pPr>
            <w:r>
              <w:rPr>
                <w:rFonts w:ascii="Times New Roman;Times;Serif" w:hAnsi="Times New Roman;Times;Serif"/>
                <w:spacing w:val="-2"/>
                <w:sz w:val="20"/>
              </w:rPr>
              <w:t>Get My Inventory (players/me/get-inventory)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2. </w:t>
      </w:r>
      <w:r>
        <w:rPr>
          <w:rFonts w:ascii="Times New Roman;Times;Serif" w:hAnsi="Times New Roman;Times;Serif"/>
          <w:b/>
          <w:i w:val="false"/>
          <w:caps w:val="false"/>
          <w:smallCaps w:val="false"/>
          <w:sz w:val="20"/>
        </w:rPr>
        <w:t xml:space="preserve">Usage by </w:t>
      </w:r>
      <w:r>
        <w:rPr>
          <w:rFonts w:ascii="Times New Roman;Times;Serif" w:hAnsi="Times New Roman;Times;Serif"/>
          <w:b/>
          <w:i w:val="false"/>
          <w:caps w:val="false"/>
          <w:smallCaps w:val="false"/>
          <w:spacing w:val="-4"/>
          <w:sz w:val="20"/>
        </w:rPr>
        <w:t>GXR</w:t>
      </w:r>
      <w:r>
        <w:rPr>
          <w:rFonts w:ascii="Times New Roman;Times;Serif" w:hAnsi="Times New Roman;Times;Serif"/>
          <w:b w:val="false"/>
          <w:i w:val="false"/>
          <w:caps w:val="false"/>
          <w:smallCaps w:val="false"/>
          <w:spacing w:val="-4"/>
          <w:sz w:val="20"/>
        </w:rPr>
        <w:t>:</w:t>
      </w:r>
    </w:p>
    <w:p>
      <w:pPr>
        <w:pStyle w:val="TextBody"/>
        <w:bidi w:val="0"/>
        <w:spacing w:before="0" w:after="0"/>
        <w:ind w:left="0" w:right="0" w:hanging="0"/>
        <w:jc w:val="left"/>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75"/>
        <w:gridCol w:w="170"/>
        <w:gridCol w:w="226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Badges and </w:t>
            </w:r>
            <w:r>
              <w:rPr>
                <w:rFonts w:ascii="Times New Roman;Times;Serif" w:hAnsi="Times New Roman;Times;Serif"/>
                <w:b/>
                <w:spacing w:val="-2"/>
                <w:sz w:val="20"/>
              </w:rPr>
              <w:t>Achievements</w:t>
            </w:r>
            <w:r>
              <w:rPr>
                <w:rFonts w:ascii="Times New Roman;Times;Serif" w:hAnsi="Times New Roman;Times;Serif"/>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591" w:type="dxa"/>
        <w:jc w:val="left"/>
        <w:tblInd w:w="0" w:type="dxa"/>
        <w:tblLayout w:type="fixed"/>
        <w:tblCellMar>
          <w:top w:w="0" w:type="dxa"/>
          <w:left w:w="0" w:type="dxa"/>
          <w:bottom w:w="0" w:type="dxa"/>
          <w:right w:w="0" w:type="dxa"/>
        </w:tblCellMar>
      </w:tblPr>
      <w:tblGrid>
        <w:gridCol w:w="75"/>
        <w:gridCol w:w="170"/>
        <w:gridCol w:w="534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Fetch and display user-earned badges, achievements, and </w:t>
            </w:r>
            <w:r>
              <w:rPr>
                <w:rFonts w:ascii="Times New Roman;Times;Serif" w:hAnsi="Times New Roman;Times;Serif"/>
                <w:spacing w:val="-2"/>
                <w:sz w:val="20"/>
              </w:rPr>
              <w:t>rewards.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Maintain a history of accomplishments for </w:t>
            </w:r>
            <w:r>
              <w:rPr>
                <w:rFonts w:ascii="Times New Roman;Times;Serif" w:hAnsi="Times New Roman;Times;Serif"/>
                <w:spacing w:val="-2"/>
                <w:sz w:val="20"/>
              </w:rPr>
              <w:t>users.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630" w:type="dxa"/>
        <w:jc w:val="left"/>
        <w:tblInd w:w="0" w:type="dxa"/>
        <w:tblLayout w:type="fixed"/>
        <w:tblCellMar>
          <w:top w:w="0" w:type="dxa"/>
          <w:left w:w="0" w:type="dxa"/>
          <w:bottom w:w="0" w:type="dxa"/>
          <w:right w:w="0" w:type="dxa"/>
        </w:tblCellMar>
      </w:tblPr>
      <w:tblGrid>
        <w:gridCol w:w="75"/>
        <w:gridCol w:w="170"/>
        <w:gridCol w:w="2385"/>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pPr>
            <w:r>
              <w:rPr/>
              <w:t>○</w:t>
            </w:r>
          </w:p>
        </w:tc>
        <w:tc>
          <w:tcPr>
            <w:tcW w:w="2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Reward System </w:t>
            </w:r>
            <w:r>
              <w:rPr>
                <w:rFonts w:ascii="Times New Roman;Times;Serif" w:hAnsi="Times New Roman;Times;Serif"/>
                <w:b/>
                <w:spacing w:val="-2"/>
                <w:sz w:val="20"/>
              </w:rPr>
              <w:t>Integration</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75"/>
        <w:gridCol w:w="170"/>
        <w:gridCol w:w="93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Enable users to view, collect, and interact with their earned inventory items, such as virtual trophies or collectibles.</w:t>
            </w:r>
          </w:p>
        </w:tc>
      </w:tr>
    </w:tbl>
    <w:p>
      <w:pPr>
        <w:pStyle w:val="TextBody"/>
        <w:bidi w:val="0"/>
        <w:spacing w:before="0" w:after="0"/>
        <w:ind w:left="0" w:right="0" w:hanging="0"/>
        <w:jc w:val="left"/>
        <w:rPr>
          <w:caps w:val="false"/>
          <w:smallCaps w:val="false"/>
        </w:rPr>
      </w:pPr>
      <w:r>
        <w:rPr>
          <w:caps w:val="false"/>
          <w:smallCaps w:val="false"/>
        </w:rPr>
        <w:t> </w:t>
      </w:r>
    </w:p>
    <w:tbl>
      <w:tblPr>
        <w:tblW w:w="2276" w:type="dxa"/>
        <w:jc w:val="left"/>
        <w:tblInd w:w="0" w:type="dxa"/>
        <w:tblLayout w:type="fixed"/>
        <w:tblCellMar>
          <w:top w:w="0" w:type="dxa"/>
          <w:left w:w="0" w:type="dxa"/>
          <w:bottom w:w="0" w:type="dxa"/>
          <w:right w:w="0" w:type="dxa"/>
        </w:tblCellMar>
      </w:tblPr>
      <w:tblGrid>
        <w:gridCol w:w="75"/>
        <w:gridCol w:w="170"/>
        <w:gridCol w:w="2031"/>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pPr>
            <w:r>
              <w:rPr/>
              <w:t>○</w:t>
            </w:r>
          </w:p>
        </w:tc>
        <w:tc>
          <w:tcPr>
            <w:tcW w:w="203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Gamification </w:t>
            </w:r>
            <w:r>
              <w:rPr>
                <w:rFonts w:ascii="Times New Roman;Times;Serif" w:hAnsi="Times New Roman;Times;Serif"/>
                <w:b/>
                <w:spacing w:val="-2"/>
                <w:sz w:val="20"/>
              </w:rPr>
              <w:t>Elements</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170"/>
        <w:gridCol w:w="70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Seamlessly integrate inventory items with leaderboard rewards, and Mission Outcomes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ensures a centralized and user-friendly system for tracking and displaying gamification elements like badges and rewards.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4. </w:t>
      </w:r>
      <w:r>
        <w:rPr>
          <w:rFonts w:ascii="Times New Roman;Times;Serif" w:hAnsi="Times New Roman;Times;Serif"/>
          <w:b w:val="false"/>
          <w:i w:val="false"/>
          <w:caps w:val="false"/>
          <w:smallCaps w:val="false"/>
          <w:sz w:val="20"/>
        </w:rPr>
        <w:t xml:space="preserve">Money Flow &amp; Wallet </w:t>
      </w:r>
      <w:r>
        <w:rPr>
          <w:rFonts w:ascii="Times New Roman;Times;Serif" w:hAnsi="Times New Roman;Times;Serif"/>
          <w:b w:val="false"/>
          <w:i w:val="false"/>
          <w:caps w:val="false"/>
          <w:smallCaps w:val="false"/>
          <w:spacing w:val="-2"/>
          <w:sz w:val="20"/>
        </w:rPr>
        <w:t>Integration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val="false"/>
          <w:caps w:val="false"/>
          <w:smallCaps w:val="false"/>
          <w:sz w:val="20"/>
        </w:rPr>
        <w:t xml:space="preserve">Specter RMG Wallet System </w:t>
      </w:r>
      <w:r>
        <w:rPr>
          <w:rFonts w:ascii="Times New Roman;Times;Serif" w:hAnsi="Times New Roman;Times;Serif"/>
          <w:b w:val="false"/>
          <w:i w:val="false"/>
          <w:caps w:val="false"/>
          <w:smallCaps w:val="false"/>
          <w:sz w:val="20"/>
        </w:rPr>
        <w:t xml:space="preserve">handles user transactions, wallet balances, game participation, prize distribution, and taxation seamlessly. Specter ensures that all fund flows, including </w:t>
      </w:r>
      <w:r>
        <w:rPr>
          <w:rFonts w:ascii="Times New Roman;Times;Serif" w:hAnsi="Times New Roman;Times;Serif"/>
          <w:b/>
          <w:i w:val="false"/>
          <w:caps w:val="false"/>
          <w:smallCaps w:val="false"/>
          <w:sz w:val="20"/>
        </w:rPr>
        <w:t>entry fee deductions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GST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platform fees </w:t>
      </w:r>
      <w:r>
        <w:rPr>
          <w:rFonts w:ascii="Times New Roman;Times;Serif" w:hAnsi="Times New Roman;Times;Serif"/>
          <w:b w:val="false"/>
          <w:i w:val="false"/>
          <w:caps w:val="false"/>
          <w:smallCaps w:val="false"/>
          <w:sz w:val="20"/>
        </w:rPr>
        <w:t>(revenue for GXR), are properly validated, recorded, and managed in a compliant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1. </w:t>
      </w:r>
      <w:r>
        <w:rPr>
          <w:rFonts w:ascii="Times New Roman;Times;Serif" w:hAnsi="Times New Roman;Times;Serif"/>
          <w:b/>
          <w:i w:val="false"/>
          <w:caps w:val="false"/>
          <w:smallCaps w:val="false"/>
          <w:sz w:val="20"/>
        </w:rPr>
        <w:t xml:space="preserve">User Deposit </w:t>
      </w:r>
      <w:r>
        <w:rPr>
          <w:rFonts w:ascii="Times New Roman;Times;Serif" w:hAnsi="Times New Roman;Times;Serif"/>
          <w:b/>
          <w:i w:val="false"/>
          <w:caps w:val="false"/>
          <w:smallCaps w:val="false"/>
          <w:spacing w:val="-4"/>
          <w:sz w:val="20"/>
        </w:rPr>
        <w:t>Flow</w:t>
      </w:r>
    </w:p>
    <w:p>
      <w:pPr>
        <w:pStyle w:val="TextBody"/>
        <w:bidi w:val="0"/>
        <w:spacing w:before="0" w:after="0"/>
        <w:ind w:left="0" w:right="0" w:hanging="0"/>
        <w:jc w:val="left"/>
        <w:rPr>
          <w:caps w:val="false"/>
          <w:smallCaps w:val="false"/>
        </w:rPr>
      </w:pPr>
      <w:r>
        <w:rPr>
          <w:caps w:val="false"/>
          <w:smallCaps w:val="false"/>
        </w:rPr>
        <w:t> </w:t>
      </w:r>
    </w:p>
    <w:tbl>
      <w:tblPr>
        <w:tblW w:w="5908" w:type="dxa"/>
        <w:jc w:val="left"/>
        <w:tblInd w:w="0" w:type="dxa"/>
        <w:tblLayout w:type="fixed"/>
        <w:tblCellMar>
          <w:top w:w="0" w:type="dxa"/>
          <w:left w:w="0" w:type="dxa"/>
          <w:bottom w:w="0" w:type="dxa"/>
          <w:right w:w="0" w:type="dxa"/>
        </w:tblCellMar>
      </w:tblPr>
      <w:tblGrid>
        <w:gridCol w:w="75"/>
        <w:gridCol w:w="170"/>
        <w:gridCol w:w="566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1.</w:t>
            </w:r>
          </w:p>
        </w:tc>
        <w:tc>
          <w:tcPr>
            <w:tcW w:w="56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User Action</w:t>
            </w:r>
            <w:r>
              <w:rPr>
                <w:rFonts w:ascii="Times New Roman;Times;Serif" w:hAnsi="Times New Roman;Times;Serif"/>
                <w:sz w:val="20"/>
              </w:rPr>
              <w:t xml:space="preserve">: The user initiates a </w:t>
            </w:r>
            <w:r>
              <w:rPr>
                <w:rFonts w:ascii="Times New Roman;Times;Serif" w:hAnsi="Times New Roman;Times;Serif"/>
                <w:b/>
                <w:sz w:val="20"/>
              </w:rPr>
              <w:t>deposit request</w:t>
            </w:r>
            <w:r>
              <w:rPr>
                <w:rFonts w:ascii="Times New Roman;Times;Serif" w:hAnsi="Times New Roman;Times;Serif"/>
                <w:sz w:val="20"/>
              </w:rPr>
              <w:t xml:space="preserve"> within the GXR </w:t>
            </w:r>
            <w:r>
              <w:rPr>
                <w:rFonts w:ascii="Times New Roman;Times;Serif" w:hAnsi="Times New Roman;Times;Serif"/>
                <w:spacing w:val="-4"/>
                <w:sz w:val="20"/>
              </w:rPr>
              <w:t>app.</w:t>
            </w:r>
          </w:p>
        </w:tc>
      </w:tr>
    </w:tbl>
    <w:p>
      <w:pPr>
        <w:pStyle w:val="TextBody"/>
        <w:bidi w:val="0"/>
        <w:spacing w:before="0" w:after="0"/>
        <w:ind w:left="0" w:right="0" w:hanging="0"/>
        <w:jc w:val="left"/>
        <w:rPr>
          <w:caps w:val="false"/>
          <w:smallCaps w:val="false"/>
        </w:rPr>
      </w:pPr>
      <w:r>
        <w:rPr>
          <w:caps w:val="false"/>
          <w:smallCaps w:val="false"/>
        </w:rPr>
        <w:t> </w:t>
      </w:r>
    </w:p>
    <w:tbl>
      <w:tblPr>
        <w:tblW w:w="1897" w:type="dxa"/>
        <w:jc w:val="left"/>
        <w:tblInd w:w="0" w:type="dxa"/>
        <w:tblLayout w:type="fixed"/>
        <w:tblCellMar>
          <w:top w:w="0" w:type="dxa"/>
          <w:left w:w="0" w:type="dxa"/>
          <w:bottom w:w="0" w:type="dxa"/>
          <w:right w:w="0" w:type="dxa"/>
        </w:tblCellMar>
      </w:tblPr>
      <w:tblGrid>
        <w:gridCol w:w="75"/>
        <w:gridCol w:w="170"/>
        <w:gridCol w:w="1652"/>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2.</w:t>
            </w:r>
          </w:p>
        </w:tc>
        <w:tc>
          <w:tcPr>
            <w:tcW w:w="165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Specter </w:t>
            </w:r>
            <w:r>
              <w:rPr>
                <w:rFonts w:ascii="Times New Roman;Times;Serif" w:hAnsi="Times New Roman;Times;Serif"/>
                <w:b/>
                <w:spacing w:val="-2"/>
                <w:sz w:val="20"/>
              </w:rPr>
              <w:t>Validation</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Specter validates the deposit request (e.g., wallet ID, deposit amount) against rules set up on the Specter Dashboard.</w:t>
            </w:r>
          </w:p>
        </w:tc>
      </w:tr>
    </w:tbl>
    <w:p>
      <w:pPr>
        <w:pStyle w:val="TextBody"/>
        <w:bidi w:val="0"/>
        <w:spacing w:before="0" w:after="0"/>
        <w:ind w:left="0" w:right="0" w:hanging="0"/>
        <w:jc w:val="left"/>
        <w:rPr>
          <w:caps w:val="false"/>
          <w:smallCaps w:val="false"/>
        </w:rPr>
      </w:pPr>
      <w:r>
        <w:rPr>
          <w:caps w:val="false"/>
          <w:smallCaps w:val="false"/>
        </w:rPr>
        <w:t> </w:t>
      </w:r>
    </w:p>
    <w:tbl>
      <w:tblPr>
        <w:tblW w:w="2870" w:type="dxa"/>
        <w:jc w:val="left"/>
        <w:tblInd w:w="0" w:type="dxa"/>
        <w:tblLayout w:type="fixed"/>
        <w:tblCellMar>
          <w:top w:w="0" w:type="dxa"/>
          <w:left w:w="0" w:type="dxa"/>
          <w:bottom w:w="0" w:type="dxa"/>
          <w:right w:w="0" w:type="dxa"/>
        </w:tblCellMar>
      </w:tblPr>
      <w:tblGrid>
        <w:gridCol w:w="75"/>
        <w:gridCol w:w="170"/>
        <w:gridCol w:w="2625"/>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3.</w:t>
            </w:r>
          </w:p>
        </w:tc>
        <w:tc>
          <w:tcPr>
            <w:tcW w:w="2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Payment Gateway </w:t>
            </w:r>
            <w:r>
              <w:rPr>
                <w:rFonts w:ascii="Times New Roman;Times;Serif" w:hAnsi="Times New Roman;Times;Serif"/>
                <w:b/>
                <w:spacing w:val="-2"/>
                <w:sz w:val="20"/>
              </w:rPr>
              <w:t>Integration</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198" w:type="dxa"/>
        <w:jc w:val="left"/>
        <w:tblInd w:w="0" w:type="dxa"/>
        <w:tblLayout w:type="fixed"/>
        <w:tblCellMar>
          <w:top w:w="0" w:type="dxa"/>
          <w:left w:w="0" w:type="dxa"/>
          <w:bottom w:w="0" w:type="dxa"/>
          <w:right w:w="0" w:type="dxa"/>
        </w:tblCellMar>
      </w:tblPr>
      <w:tblGrid>
        <w:gridCol w:w="75"/>
        <w:gridCol w:w="170"/>
        <w:gridCol w:w="695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Specter creates an </w:t>
            </w:r>
            <w:r>
              <w:rPr>
                <w:rFonts w:ascii="Times New Roman;Times;Serif" w:hAnsi="Times New Roman;Times;Serif"/>
                <w:b/>
                <w:sz w:val="20"/>
              </w:rPr>
              <w:t>order</w:t>
            </w:r>
            <w:r>
              <w:rPr>
                <w:rFonts w:ascii="Times New Roman;Times;Serif" w:hAnsi="Times New Roman;Times;Serif"/>
                <w:sz w:val="20"/>
              </w:rPr>
              <w:t xml:space="preserve"> via the payment gateway (e.g., Razorpay, Stripe, </w:t>
            </w:r>
            <w:r>
              <w:rPr>
                <w:rFonts w:ascii="Times New Roman;Times;Serif" w:hAnsi="Times New Roman;Times;Serif"/>
                <w:spacing w:val="-2"/>
                <w:sz w:val="20"/>
              </w:rPr>
              <w:t>PayU).</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user completes the payment, and funds are transferred to the </w:t>
            </w:r>
            <w:r>
              <w:rPr>
                <w:rFonts w:ascii="Times New Roman;Times;Serif" w:hAnsi="Times New Roman;Times;Serif"/>
                <w:b/>
                <w:sz w:val="20"/>
              </w:rPr>
              <w:t xml:space="preserve">GXR Bank </w:t>
            </w:r>
            <w:r>
              <w:rPr>
                <w:rFonts w:ascii="Times New Roman;Times;Serif" w:hAnsi="Times New Roman;Times;Serif"/>
                <w:b/>
                <w:spacing w:val="-2"/>
                <w:sz w:val="20"/>
              </w:rPr>
              <w:t>Account</w:t>
            </w:r>
            <w:r>
              <w:rPr>
                <w:rFonts w:ascii="Times New Roman;Times;Serif" w:hAnsi="Times New Roman;Times;Serif"/>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2160" w:type="dxa"/>
        <w:jc w:val="left"/>
        <w:tblInd w:w="0" w:type="dxa"/>
        <w:tblLayout w:type="fixed"/>
        <w:tblCellMar>
          <w:top w:w="0" w:type="dxa"/>
          <w:left w:w="0" w:type="dxa"/>
          <w:bottom w:w="0" w:type="dxa"/>
          <w:right w:w="0" w:type="dxa"/>
        </w:tblCellMar>
      </w:tblPr>
      <w:tblGrid>
        <w:gridCol w:w="75"/>
        <w:gridCol w:w="170"/>
        <w:gridCol w:w="1915"/>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4.</w:t>
            </w:r>
          </w:p>
        </w:tc>
        <w:tc>
          <w:tcPr>
            <w:tcW w:w="19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Specter Wallet </w:t>
            </w:r>
            <w:r>
              <w:rPr>
                <w:rFonts w:ascii="Times New Roman;Times;Serif" w:hAnsi="Times New Roman;Times;Serif"/>
                <w:b/>
                <w:spacing w:val="-2"/>
                <w:sz w:val="20"/>
              </w:rPr>
              <w:t>Credit</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Once payment is confirmed, Specter credits the </w:t>
            </w:r>
            <w:r>
              <w:rPr>
                <w:rFonts w:ascii="Times New Roman;Times;Serif" w:hAnsi="Times New Roman;Times;Serif"/>
                <w:b/>
                <w:sz w:val="20"/>
              </w:rPr>
              <w:t>user’s wallet</w:t>
            </w:r>
            <w:r>
              <w:rPr>
                <w:rFonts w:ascii="Times New Roman;Times;Serif" w:hAnsi="Times New Roman;Times;Serif"/>
                <w:sz w:val="20"/>
              </w:rPr>
              <w:t xml:space="preserve"> within its internal </w:t>
            </w:r>
            <w:r>
              <w:rPr>
                <w:rFonts w:ascii="Times New Roman;Times;Serif" w:hAnsi="Times New Roman;Times;Serif"/>
                <w:spacing w:val="-2"/>
                <w:sz w:val="20"/>
              </w:rPr>
              <w:t>system.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Analogy</w:t>
            </w:r>
            <w:r>
              <w:rPr>
                <w:rFonts w:ascii="Times New Roman;Times;Serif" w:hAnsi="Times New Roman;Times;Serif"/>
                <w:sz w:val="20"/>
              </w:rPr>
              <w:t>: Specter acts like a casino issuing “chips” to users after receiving funds, ensuring all game-related transactions are contained within its ecosystem.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2. </w:t>
      </w:r>
      <w:r>
        <w:rPr>
          <w:rFonts w:ascii="Times New Roman;Times;Serif" w:hAnsi="Times New Roman;Times;Serif"/>
          <w:b/>
          <w:i w:val="false"/>
          <w:caps w:val="false"/>
          <w:smallCaps w:val="false"/>
          <w:sz w:val="20"/>
        </w:rPr>
        <w:t xml:space="preserve">Wallet Operations for </w:t>
      </w:r>
      <w:r>
        <w:rPr>
          <w:rFonts w:ascii="Times New Roman;Times;Serif" w:hAnsi="Times New Roman;Times;Serif"/>
          <w:b/>
          <w:i w:val="false"/>
          <w:caps w:val="false"/>
          <w:smallCaps w:val="false"/>
          <w:spacing w:val="-2"/>
          <w:sz w:val="20"/>
        </w:rPr>
        <w:t>Competitions</w:t>
      </w:r>
    </w:p>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170"/>
        <w:gridCol w:w="8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1.</w:t>
            </w:r>
          </w:p>
        </w:tc>
        <w:tc>
          <w:tcPr>
            <w:tcW w:w="896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b/>
                <w:sz w:val="20"/>
              </w:rPr>
              <w:t>User Action</w:t>
            </w:r>
            <w:r>
              <w:rPr>
                <w:rFonts w:ascii="Times New Roman;Times;Serif" w:hAnsi="Times New Roman;Times;Serif"/>
                <w:sz w:val="20"/>
              </w:rPr>
              <w:t xml:space="preserve">: The user pays an </w:t>
            </w:r>
            <w:r>
              <w:rPr>
                <w:rFonts w:ascii="Times New Roman;Times;Serif" w:hAnsi="Times New Roman;Times;Serif"/>
                <w:b/>
                <w:sz w:val="20"/>
              </w:rPr>
              <w:t>entry fee</w:t>
            </w:r>
            <w:r>
              <w:rPr>
                <w:rFonts w:ascii="Times New Roman;Times;Serif" w:hAnsi="Times New Roman;Times;Serif"/>
                <w:sz w:val="20"/>
              </w:rPr>
              <w:t xml:space="preserve"> to participate in an RMG competition (e.g., tournaments, predictions).</w:t>
            </w:r>
          </w:p>
        </w:tc>
      </w:tr>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2.</w:t>
            </w:r>
          </w:p>
        </w:tc>
        <w:tc>
          <w:tcPr>
            <w:tcW w:w="8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Wallet </w:t>
            </w:r>
            <w:r>
              <w:rPr>
                <w:rFonts w:ascii="Times New Roman;Times;Serif" w:hAnsi="Times New Roman;Times;Serif"/>
                <w:b/>
                <w:spacing w:val="-2"/>
                <w:sz w:val="20"/>
              </w:rPr>
              <w:t>Deduction</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4890" w:type="dxa"/>
        <w:jc w:val="left"/>
        <w:tblInd w:w="0" w:type="dxa"/>
        <w:tblLayout w:type="fixed"/>
        <w:tblCellMar>
          <w:top w:w="0" w:type="dxa"/>
          <w:left w:w="0" w:type="dxa"/>
          <w:bottom w:w="0" w:type="dxa"/>
          <w:right w:w="0" w:type="dxa"/>
        </w:tblCellMar>
      </w:tblPr>
      <w:tblGrid>
        <w:gridCol w:w="75"/>
        <w:gridCol w:w="170"/>
        <w:gridCol w:w="4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entry fee is </w:t>
            </w:r>
            <w:r>
              <w:rPr>
                <w:rFonts w:ascii="Times New Roman;Times;Serif" w:hAnsi="Times New Roman;Times;Serif"/>
                <w:b/>
                <w:sz w:val="20"/>
              </w:rPr>
              <w:t xml:space="preserve">deducted from the user’s Specter </w:t>
            </w:r>
            <w:r>
              <w:rPr>
                <w:rFonts w:ascii="Times New Roman;Times;Serif" w:hAnsi="Times New Roman;Times;Serif"/>
                <w:b/>
                <w:spacing w:val="-2"/>
                <w:sz w:val="20"/>
              </w:rPr>
              <w:t>wallet</w:t>
            </w:r>
            <w:r>
              <w:rPr>
                <w:rFonts w:ascii="Times New Roman;Times;Serif" w:hAnsi="Times New Roman;Times;Serif"/>
                <w:spacing w:val="-2"/>
                <w:sz w:val="20"/>
              </w:rPr>
              <w:t>.</w:t>
            </w:r>
          </w:p>
        </w:tc>
      </w:tr>
    </w:tbl>
    <w:p>
      <w:pPr>
        <w:pStyle w:val="TextBody"/>
        <w:bidi w:val="0"/>
        <w:spacing w:before="0" w:after="0"/>
        <w:ind w:left="0" w:right="0" w:hanging="0"/>
        <w:jc w:val="left"/>
        <w:rPr>
          <w:caps w:val="false"/>
          <w:smallCaps w:val="false"/>
          <w:spacing w:val="-2"/>
        </w:rPr>
      </w:pPr>
      <w:r>
        <w:rPr>
          <w:caps w:val="false"/>
          <w:smallCaps w:val="false"/>
          <w:spacing w:val="-2"/>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spacing w:val="-2"/>
        </w:rPr>
      </w:pPr>
      <w:r>
        <w:rPr>
          <w:caps w:val="false"/>
          <w:smallCaps w:val="false"/>
          <w:spacing w:val="-2"/>
        </w:rPr>
        <w:t> </w:t>
      </w:r>
    </w:p>
    <w:tbl>
      <w:tblPr>
        <w:tblW w:w="1597" w:type="dxa"/>
        <w:jc w:val="left"/>
        <w:tblInd w:w="0" w:type="dxa"/>
        <w:tblLayout w:type="fixed"/>
        <w:tblCellMar>
          <w:top w:w="0" w:type="dxa"/>
          <w:left w:w="0" w:type="dxa"/>
          <w:bottom w:w="0" w:type="dxa"/>
          <w:right w:w="0" w:type="dxa"/>
        </w:tblCellMar>
      </w:tblPr>
      <w:tblGrid>
        <w:gridCol w:w="75"/>
        <w:gridCol w:w="170"/>
        <w:gridCol w:w="1352"/>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3.</w:t>
            </w:r>
          </w:p>
        </w:tc>
        <w:tc>
          <w:tcPr>
            <w:tcW w:w="135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Fee </w:t>
            </w:r>
            <w:r>
              <w:rPr>
                <w:rFonts w:ascii="Times New Roman;Times;Serif" w:hAnsi="Times New Roman;Times;Serif"/>
                <w:b/>
                <w:spacing w:val="-2"/>
                <w:sz w:val="20"/>
              </w:rPr>
              <w:t>Deductions</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spacing w:val="-2"/>
        </w:rPr>
      </w:pPr>
      <w:r>
        <w:rPr>
          <w:caps w:val="false"/>
          <w:smallCaps w:val="false"/>
          <w:spacing w:val="-2"/>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GST Deduction</w:t>
            </w:r>
            <w:r>
              <w:rPr>
                <w:rFonts w:ascii="Times New Roman;Times;Serif" w:hAnsi="Times New Roman;Times;Serif"/>
                <w:sz w:val="20"/>
              </w:rPr>
              <w:t>: A portion of the entry fee is deducted as GST, which is recorded within the Specter system for compliance.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Platform Fee</w:t>
            </w:r>
            <w:r>
              <w:rPr>
                <w:rFonts w:ascii="Times New Roman;Times;Serif" w:hAnsi="Times New Roman;Times;Serif"/>
                <w:sz w:val="20"/>
              </w:rPr>
              <w:t xml:space="preserve">: Specter also deducts the </w:t>
            </w:r>
            <w:r>
              <w:rPr>
                <w:rFonts w:ascii="Times New Roman;Times;Serif" w:hAnsi="Times New Roman;Times;Serif"/>
                <w:b/>
                <w:sz w:val="20"/>
              </w:rPr>
              <w:t>platform fee</w:t>
            </w:r>
            <w:r>
              <w:rPr>
                <w:rFonts w:ascii="Times New Roman;Times;Serif" w:hAnsi="Times New Roman;Times;Serif"/>
                <w:sz w:val="20"/>
              </w:rPr>
              <w:t>, which is recorded as GXR’s revenue.</w:t>
            </w:r>
          </w:p>
        </w:tc>
      </w:tr>
    </w:tbl>
    <w:p>
      <w:pPr>
        <w:pStyle w:val="TextBody"/>
        <w:bidi w:val="0"/>
        <w:spacing w:before="0" w:after="0"/>
        <w:ind w:left="0" w:right="0" w:hanging="0"/>
        <w:jc w:val="left"/>
        <w:rPr>
          <w:caps w:val="false"/>
          <w:smallCaps w:val="false"/>
          <w:spacing w:val="-1"/>
        </w:rPr>
      </w:pPr>
      <w:r>
        <w:rPr>
          <w:caps w:val="false"/>
          <w:smallCaps w:val="false"/>
          <w:spacing w:val="-1"/>
        </w:rPr>
        <w:t> </w:t>
      </w:r>
    </w:p>
    <w:tbl>
      <w:tblPr>
        <w:tblW w:w="2362" w:type="dxa"/>
        <w:jc w:val="left"/>
        <w:tblInd w:w="0" w:type="dxa"/>
        <w:tblLayout w:type="fixed"/>
        <w:tblCellMar>
          <w:top w:w="0" w:type="dxa"/>
          <w:left w:w="0" w:type="dxa"/>
          <w:bottom w:w="0" w:type="dxa"/>
          <w:right w:w="0" w:type="dxa"/>
        </w:tblCellMar>
      </w:tblPr>
      <w:tblGrid>
        <w:gridCol w:w="75"/>
        <w:gridCol w:w="170"/>
        <w:gridCol w:w="2117"/>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4.</w:t>
            </w:r>
          </w:p>
        </w:tc>
        <w:tc>
          <w:tcPr>
            <w:tcW w:w="211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Prize Pool </w:t>
            </w:r>
            <w:r>
              <w:rPr>
                <w:rFonts w:ascii="Times New Roman;Times;Serif" w:hAnsi="Times New Roman;Times;Serif"/>
                <w:b/>
                <w:spacing w:val="-2"/>
                <w:sz w:val="20"/>
              </w:rPr>
              <w:t>Management</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170"/>
        <w:gridCol w:w="9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remaining amount (post-GST and platform fee) is aggregated into the </w:t>
            </w:r>
            <w:r>
              <w:rPr>
                <w:rFonts w:ascii="Times New Roman;Times;Serif" w:hAnsi="Times New Roman;Times;Serif"/>
                <w:b/>
                <w:sz w:val="20"/>
              </w:rPr>
              <w:t>Prize Pool</w:t>
            </w:r>
            <w:r>
              <w:rPr>
                <w:rFonts w:ascii="Times New Roman;Times;Serif" w:hAnsi="Times New Roman;Times;Serif"/>
                <w:sz w:val="20"/>
              </w:rPr>
              <w:t>, managed and tracked by Specter.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Key </w:t>
      </w:r>
      <w:r>
        <w:rPr>
          <w:rFonts w:ascii="Times New Roman;Times;Serif" w:hAnsi="Times New Roman;Times;Serif"/>
          <w:b/>
          <w:i w:val="false"/>
          <w:caps w:val="false"/>
          <w:smallCaps w:val="false"/>
          <w:spacing w:val="-2"/>
          <w:sz w:val="20"/>
        </w:rPr>
        <w:t>Notes</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75"/>
        <w:gridCol w:w="170"/>
        <w:gridCol w:w="92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Specter ensures that </w:t>
            </w:r>
            <w:r>
              <w:rPr>
                <w:rFonts w:ascii="Times New Roman;Times;Serif" w:hAnsi="Times New Roman;Times;Serif"/>
                <w:b/>
                <w:sz w:val="20"/>
              </w:rPr>
              <w:t>GST</w:t>
            </w:r>
            <w:r>
              <w:rPr>
                <w:rFonts w:ascii="Times New Roman;Times;Serif" w:hAnsi="Times New Roman;Times;Serif"/>
                <w:sz w:val="20"/>
              </w:rPr>
              <w:t xml:space="preserve"> and </w:t>
            </w:r>
            <w:r>
              <w:rPr>
                <w:rFonts w:ascii="Times New Roman;Times;Serif" w:hAnsi="Times New Roman;Times;Serif"/>
                <w:b/>
                <w:sz w:val="20"/>
              </w:rPr>
              <w:t>platform fees</w:t>
            </w:r>
            <w:r>
              <w:rPr>
                <w:rFonts w:ascii="Times New Roman;Times;Serif" w:hAnsi="Times New Roman;Times;Serif"/>
                <w:sz w:val="20"/>
              </w:rPr>
              <w:t xml:space="preserve"> are calculated and deducted seamlessly during the wallet transaction.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Platform fees directly contribute to GXR’s revenue and are recorded in Specter for </w:t>
            </w:r>
            <w:r>
              <w:rPr>
                <w:rFonts w:ascii="Times New Roman;Times;Serif" w:hAnsi="Times New Roman;Times;Serif"/>
                <w:spacing w:val="-2"/>
                <w:sz w:val="20"/>
              </w:rPr>
              <w:t>reporting.</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3. </w:t>
      </w:r>
      <w:r>
        <w:rPr>
          <w:rFonts w:ascii="Times New Roman;Times;Serif" w:hAnsi="Times New Roman;Times;Serif"/>
          <w:b/>
          <w:i w:val="false"/>
          <w:caps w:val="false"/>
          <w:smallCaps w:val="false"/>
          <w:sz w:val="20"/>
        </w:rPr>
        <w:t xml:space="preserve">Prize Distribution </w:t>
      </w:r>
      <w:r>
        <w:rPr>
          <w:rFonts w:ascii="Times New Roman;Times;Serif" w:hAnsi="Times New Roman;Times;Serif"/>
          <w:b/>
          <w:i w:val="false"/>
          <w:caps w:val="false"/>
          <w:smallCaps w:val="false"/>
          <w:spacing w:val="-4"/>
          <w:sz w:val="20"/>
        </w:rPr>
        <w:t>Flow</w:t>
      </w:r>
    </w:p>
    <w:p>
      <w:pPr>
        <w:pStyle w:val="TextBody"/>
        <w:bidi w:val="0"/>
        <w:spacing w:before="0" w:after="0"/>
        <w:ind w:left="0" w:right="0" w:hanging="0"/>
        <w:jc w:val="left"/>
        <w:rPr>
          <w:caps w:val="false"/>
          <w:smallCaps w:val="false"/>
          <w:spacing w:val="-1"/>
        </w:rPr>
      </w:pPr>
      <w:r>
        <w:rPr>
          <w:caps w:val="false"/>
          <w:smallCaps w:val="false"/>
          <w:spacing w:val="-1"/>
        </w:rPr>
        <w:t> </w:t>
      </w:r>
    </w:p>
    <w:tbl>
      <w:tblPr>
        <w:tblW w:w="6686" w:type="dxa"/>
        <w:jc w:val="left"/>
        <w:tblInd w:w="0" w:type="dxa"/>
        <w:tblLayout w:type="fixed"/>
        <w:tblCellMar>
          <w:top w:w="0" w:type="dxa"/>
          <w:left w:w="0" w:type="dxa"/>
          <w:bottom w:w="0" w:type="dxa"/>
          <w:right w:w="0" w:type="dxa"/>
        </w:tblCellMar>
      </w:tblPr>
      <w:tblGrid>
        <w:gridCol w:w="75"/>
        <w:gridCol w:w="170"/>
        <w:gridCol w:w="6441"/>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1.</w:t>
            </w:r>
          </w:p>
        </w:tc>
        <w:tc>
          <w:tcPr>
            <w:tcW w:w="6441"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b/>
                <w:sz w:val="20"/>
              </w:rPr>
              <w:t>Competition Results</w:t>
            </w:r>
            <w:r>
              <w:rPr>
                <w:rFonts w:ascii="Times New Roman;Times;Serif" w:hAnsi="Times New Roman;Times;Serif"/>
                <w:sz w:val="20"/>
              </w:rPr>
              <w:t xml:space="preserve">: Specter calculates the results and determines the </w:t>
            </w:r>
            <w:r>
              <w:rPr>
                <w:rFonts w:ascii="Times New Roman;Times;Serif" w:hAnsi="Times New Roman;Times;Serif"/>
                <w:spacing w:val="-2"/>
                <w:sz w:val="20"/>
              </w:rPr>
              <w:t>winners.</w:t>
            </w:r>
          </w:p>
        </w:tc>
      </w:tr>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2.</w:t>
            </w:r>
          </w:p>
        </w:tc>
        <w:tc>
          <w:tcPr>
            <w:tcW w:w="644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Winnings </w:t>
            </w:r>
            <w:r>
              <w:rPr>
                <w:rFonts w:ascii="Times New Roman;Times;Serif" w:hAnsi="Times New Roman;Times;Serif"/>
                <w:b/>
                <w:spacing w:val="-2"/>
                <w:sz w:val="20"/>
              </w:rPr>
              <w:t>Validation</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6431" w:type="dxa"/>
        <w:jc w:val="left"/>
        <w:tblInd w:w="0" w:type="dxa"/>
        <w:tblLayout w:type="fixed"/>
        <w:tblCellMar>
          <w:top w:w="0" w:type="dxa"/>
          <w:left w:w="0" w:type="dxa"/>
          <w:bottom w:w="0" w:type="dxa"/>
          <w:right w:w="0" w:type="dxa"/>
        </w:tblCellMar>
      </w:tblPr>
      <w:tblGrid>
        <w:gridCol w:w="75"/>
        <w:gridCol w:w="170"/>
        <w:gridCol w:w="6186"/>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Winnings are validated, and applicable deductions such as </w:t>
            </w:r>
            <w:r>
              <w:rPr>
                <w:rFonts w:ascii="Times New Roman;Times;Serif" w:hAnsi="Times New Roman;Times;Serif"/>
                <w:b/>
                <w:sz w:val="20"/>
              </w:rPr>
              <w:t>TDS</w:t>
            </w:r>
            <w:r>
              <w:rPr>
                <w:rFonts w:ascii="Times New Roman;Times;Serif" w:hAnsi="Times New Roman;Times;Serif"/>
                <w:sz w:val="20"/>
              </w:rPr>
              <w:t xml:space="preserve"> are </w:t>
            </w:r>
            <w:r>
              <w:rPr>
                <w:rFonts w:ascii="Times New Roman;Times;Serif" w:hAnsi="Times New Roman;Times;Serif"/>
                <w:spacing w:val="-2"/>
                <w:sz w:val="20"/>
              </w:rPr>
              <w:t>applied.</w:t>
            </w:r>
          </w:p>
        </w:tc>
      </w:tr>
    </w:tbl>
    <w:p>
      <w:pPr>
        <w:pStyle w:val="TextBody"/>
        <w:bidi w:val="0"/>
        <w:spacing w:before="0" w:after="0"/>
        <w:ind w:left="0" w:right="0" w:hanging="0"/>
        <w:jc w:val="left"/>
        <w:rPr>
          <w:caps w:val="false"/>
          <w:smallCaps w:val="false"/>
          <w:spacing w:val="-1"/>
        </w:rPr>
      </w:pPr>
      <w:r>
        <w:rPr>
          <w:caps w:val="false"/>
          <w:smallCaps w:val="false"/>
          <w:spacing w:val="-1"/>
        </w:rPr>
        <w:t> </w:t>
      </w:r>
    </w:p>
    <w:tbl>
      <w:tblPr>
        <w:tblW w:w="1485" w:type="dxa"/>
        <w:jc w:val="left"/>
        <w:tblInd w:w="0" w:type="dxa"/>
        <w:tblLayout w:type="fixed"/>
        <w:tblCellMar>
          <w:top w:w="0" w:type="dxa"/>
          <w:left w:w="0" w:type="dxa"/>
          <w:bottom w:w="0" w:type="dxa"/>
          <w:right w:w="0" w:type="dxa"/>
        </w:tblCellMar>
      </w:tblPr>
      <w:tblGrid>
        <w:gridCol w:w="75"/>
        <w:gridCol w:w="170"/>
        <w:gridCol w:w="1240"/>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3.</w:t>
            </w:r>
          </w:p>
        </w:tc>
        <w:tc>
          <w:tcPr>
            <w:tcW w:w="1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Wallet </w:t>
            </w:r>
            <w:r>
              <w:rPr>
                <w:rFonts w:ascii="Times New Roman;Times;Serif" w:hAnsi="Times New Roman;Times;Serif"/>
                <w:b/>
                <w:spacing w:val="-2"/>
                <w:sz w:val="20"/>
              </w:rPr>
              <w:t>Credit</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595" w:type="dxa"/>
        <w:jc w:val="left"/>
        <w:tblInd w:w="0" w:type="dxa"/>
        <w:tblLayout w:type="fixed"/>
        <w:tblCellMar>
          <w:top w:w="0" w:type="dxa"/>
          <w:left w:w="0" w:type="dxa"/>
          <w:bottom w:w="0" w:type="dxa"/>
          <w:right w:w="0" w:type="dxa"/>
        </w:tblCellMar>
      </w:tblPr>
      <w:tblGrid>
        <w:gridCol w:w="75"/>
        <w:gridCol w:w="170"/>
        <w:gridCol w:w="5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Net winnings (post-TDS) are credited to the </w:t>
            </w:r>
            <w:r>
              <w:rPr>
                <w:rFonts w:ascii="Times New Roman;Times;Serif" w:hAnsi="Times New Roman;Times;Serif"/>
                <w:b/>
                <w:sz w:val="20"/>
              </w:rPr>
              <w:t xml:space="preserve">user’s Specter </w:t>
            </w:r>
            <w:r>
              <w:rPr>
                <w:rFonts w:ascii="Times New Roman;Times;Serif" w:hAnsi="Times New Roman;Times;Serif"/>
                <w:b/>
                <w:spacing w:val="-2"/>
                <w:sz w:val="20"/>
              </w:rPr>
              <w:t>wallet</w:t>
            </w:r>
            <w:r>
              <w:rPr>
                <w:rFonts w:ascii="Times New Roman;Times;Serif" w:hAnsi="Times New Roman;Times;Serif"/>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Compliance </w:t>
      </w:r>
      <w:r>
        <w:rPr>
          <w:rFonts w:ascii="Times New Roman;Times;Serif" w:hAnsi="Times New Roman;Times;Serif"/>
          <w:b/>
          <w:i w:val="false"/>
          <w:caps w:val="false"/>
          <w:smallCaps w:val="false"/>
          <w:spacing w:val="-2"/>
          <w:sz w:val="20"/>
        </w:rPr>
        <w:t>Highlight</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5782" w:type="dxa"/>
        <w:jc w:val="left"/>
        <w:tblInd w:w="0" w:type="dxa"/>
        <w:tblLayout w:type="fixed"/>
        <w:tblCellMar>
          <w:top w:w="0" w:type="dxa"/>
          <w:left w:w="0" w:type="dxa"/>
          <w:bottom w:w="0" w:type="dxa"/>
          <w:right w:w="0" w:type="dxa"/>
        </w:tblCellMar>
      </w:tblPr>
      <w:tblGrid>
        <w:gridCol w:w="75"/>
        <w:gridCol w:w="170"/>
        <w:gridCol w:w="5537"/>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GST</w:t>
            </w:r>
            <w:r>
              <w:rPr>
                <w:rFonts w:ascii="Times New Roman;Times;Serif" w:hAnsi="Times New Roman;Times;Serif"/>
                <w:sz w:val="20"/>
              </w:rPr>
              <w:t xml:space="preserve"> is already deducted at the entry fee stage and </w:t>
            </w:r>
            <w:r>
              <w:rPr>
                <w:rFonts w:ascii="Times New Roman;Times;Serif" w:hAnsi="Times New Roman;Times;Serif"/>
                <w:spacing w:val="-2"/>
                <w:sz w:val="20"/>
              </w:rPr>
              <w:t>recorded.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TDS</w:t>
            </w:r>
            <w:r>
              <w:rPr>
                <w:rFonts w:ascii="Times New Roman;Times;Serif" w:hAnsi="Times New Roman;Times;Serif"/>
                <w:sz w:val="20"/>
              </w:rPr>
              <w:t xml:space="preserve"> ensures winnings comply with tax regulations before </w:t>
            </w:r>
            <w:r>
              <w:rPr>
                <w:rFonts w:ascii="Times New Roman;Times;Serif" w:hAnsi="Times New Roman;Times;Serif"/>
                <w:spacing w:val="-2"/>
                <w:sz w:val="20"/>
              </w:rPr>
              <w:t>crediting.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1"/>
          <w:sz w:val="20"/>
        </w:rPr>
        <w:t xml:space="preserve">4. </w:t>
      </w:r>
      <w:r>
        <w:rPr>
          <w:rFonts w:ascii="Times New Roman;Times;Serif" w:hAnsi="Times New Roman;Times;Serif"/>
          <w:b/>
          <w:i w:val="false"/>
          <w:caps w:val="false"/>
          <w:smallCaps w:val="false"/>
          <w:sz w:val="20"/>
        </w:rPr>
        <w:t xml:space="preserve">User Withdrawal </w:t>
      </w:r>
      <w:r>
        <w:rPr>
          <w:rFonts w:ascii="Times New Roman;Times;Serif" w:hAnsi="Times New Roman;Times;Serif"/>
          <w:b/>
          <w:i w:val="false"/>
          <w:caps w:val="false"/>
          <w:smallCaps w:val="false"/>
          <w:spacing w:val="-4"/>
          <w:sz w:val="20"/>
        </w:rPr>
        <w:t>Flow</w:t>
      </w:r>
    </w:p>
    <w:p>
      <w:pPr>
        <w:pStyle w:val="TextBody"/>
        <w:bidi w:val="0"/>
        <w:spacing w:before="0" w:after="0"/>
        <w:ind w:left="0" w:right="0" w:hanging="0"/>
        <w:jc w:val="left"/>
        <w:rPr>
          <w:caps w:val="false"/>
          <w:smallCaps w:val="false"/>
        </w:rPr>
      </w:pPr>
      <w:r>
        <w:rPr>
          <w:caps w:val="false"/>
          <w:smallCaps w:val="false"/>
        </w:rPr>
        <w:t> </w:t>
      </w:r>
    </w:p>
    <w:tbl>
      <w:tblPr>
        <w:tblW w:w="1320" w:type="dxa"/>
        <w:jc w:val="left"/>
        <w:tblInd w:w="0" w:type="dxa"/>
        <w:tblLayout w:type="fixed"/>
        <w:tblCellMar>
          <w:top w:w="0" w:type="dxa"/>
          <w:left w:w="0" w:type="dxa"/>
          <w:bottom w:w="0" w:type="dxa"/>
          <w:right w:w="0" w:type="dxa"/>
        </w:tblCellMar>
      </w:tblPr>
      <w:tblGrid>
        <w:gridCol w:w="75"/>
        <w:gridCol w:w="170"/>
        <w:gridCol w:w="1075"/>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1.</w:t>
            </w:r>
          </w:p>
        </w:tc>
        <w:tc>
          <w:tcPr>
            <w:tcW w:w="10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User </w:t>
            </w:r>
            <w:r>
              <w:rPr>
                <w:rFonts w:ascii="Times New Roman;Times;Serif" w:hAnsi="Times New Roman;Times;Serif"/>
                <w:b/>
                <w:spacing w:val="-2"/>
                <w:sz w:val="20"/>
              </w:rPr>
              <w:t>Action</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6283" w:type="dxa"/>
        <w:jc w:val="left"/>
        <w:tblInd w:w="0" w:type="dxa"/>
        <w:tblLayout w:type="fixed"/>
        <w:tblCellMar>
          <w:top w:w="0" w:type="dxa"/>
          <w:left w:w="0" w:type="dxa"/>
          <w:bottom w:w="0" w:type="dxa"/>
          <w:right w:w="0" w:type="dxa"/>
        </w:tblCellMar>
      </w:tblPr>
      <w:tblGrid>
        <w:gridCol w:w="75"/>
        <w:gridCol w:w="170"/>
        <w:gridCol w:w="6038"/>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user initiates a </w:t>
            </w:r>
            <w:r>
              <w:rPr>
                <w:rFonts w:ascii="Times New Roman;Times;Serif" w:hAnsi="Times New Roman;Times;Serif"/>
                <w:b/>
                <w:sz w:val="20"/>
              </w:rPr>
              <w:t>withdrawal request</w:t>
            </w:r>
            <w:r>
              <w:rPr>
                <w:rFonts w:ascii="Times New Roman;Times;Serif" w:hAnsi="Times New Roman;Times;Serif"/>
                <w:sz w:val="20"/>
              </w:rPr>
              <w:t xml:space="preserve"> from their wallet via the GXR </w:t>
            </w:r>
            <w:r>
              <w:rPr>
                <w:rFonts w:ascii="Times New Roman;Times;Serif" w:hAnsi="Times New Roman;Times;Serif"/>
                <w:spacing w:val="-4"/>
                <w:sz w:val="20"/>
              </w:rPr>
              <w:t>app.</w:t>
            </w:r>
          </w:p>
        </w:tc>
      </w:tr>
    </w:tbl>
    <w:p>
      <w:pPr>
        <w:pStyle w:val="TextBody"/>
        <w:bidi w:val="0"/>
        <w:spacing w:before="0" w:after="0"/>
        <w:ind w:left="0" w:right="0" w:hanging="0"/>
        <w:jc w:val="left"/>
        <w:rPr>
          <w:caps w:val="false"/>
          <w:smallCaps w:val="false"/>
          <w:spacing w:val="-1"/>
        </w:rPr>
      </w:pPr>
      <w:r>
        <w:rPr>
          <w:caps w:val="false"/>
          <w:smallCaps w:val="false"/>
          <w:spacing w:val="-1"/>
        </w:rPr>
        <w:t> </w:t>
      </w:r>
    </w:p>
    <w:tbl>
      <w:tblPr>
        <w:tblW w:w="1897" w:type="dxa"/>
        <w:jc w:val="left"/>
        <w:tblInd w:w="0" w:type="dxa"/>
        <w:tblLayout w:type="fixed"/>
        <w:tblCellMar>
          <w:top w:w="0" w:type="dxa"/>
          <w:left w:w="0" w:type="dxa"/>
          <w:bottom w:w="0" w:type="dxa"/>
          <w:right w:w="0" w:type="dxa"/>
        </w:tblCellMar>
      </w:tblPr>
      <w:tblGrid>
        <w:gridCol w:w="75"/>
        <w:gridCol w:w="170"/>
        <w:gridCol w:w="1652"/>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2.</w:t>
            </w:r>
          </w:p>
        </w:tc>
        <w:tc>
          <w:tcPr>
            <w:tcW w:w="165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Specter </w:t>
            </w:r>
            <w:r>
              <w:rPr>
                <w:rFonts w:ascii="Times New Roman;Times;Serif" w:hAnsi="Times New Roman;Times;Serif"/>
                <w:b/>
                <w:spacing w:val="-2"/>
                <w:sz w:val="20"/>
              </w:rPr>
              <w:t>Validation</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Specter validates the withdrawal request to check for sufficient funds and other business logics set up on the Specter Dashboard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prevent double withdrawal, </w:t>
            </w:r>
            <w:r>
              <w:rPr>
                <w:rFonts w:ascii="Times New Roman;Times;Serif" w:hAnsi="Times New Roman;Times;Serif"/>
                <w:b/>
                <w:sz w:val="20"/>
              </w:rPr>
              <w:t>Specter temporarily deducts the requested amount from the user’s wallet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spacing w:val="-1"/>
        </w:rPr>
      </w:pPr>
      <w:r>
        <w:rPr>
          <w:caps w:val="false"/>
          <w:smallCaps w:val="false"/>
          <w:spacing w:val="-1"/>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spacing w:val="-1"/>
        </w:rPr>
      </w:pPr>
      <w:r>
        <w:rPr>
          <w:caps w:val="false"/>
          <w:smallCaps w:val="false"/>
          <w:spacing w:val="-1"/>
        </w:rPr>
        <w:t> </w:t>
      </w:r>
    </w:p>
    <w:tbl>
      <w:tblPr>
        <w:tblW w:w="2870" w:type="dxa"/>
        <w:jc w:val="left"/>
        <w:tblInd w:w="0" w:type="dxa"/>
        <w:tblLayout w:type="fixed"/>
        <w:tblCellMar>
          <w:top w:w="0" w:type="dxa"/>
          <w:left w:w="0" w:type="dxa"/>
          <w:bottom w:w="0" w:type="dxa"/>
          <w:right w:w="0" w:type="dxa"/>
        </w:tblCellMar>
      </w:tblPr>
      <w:tblGrid>
        <w:gridCol w:w="75"/>
        <w:gridCol w:w="170"/>
        <w:gridCol w:w="2625"/>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3.</w:t>
            </w:r>
          </w:p>
        </w:tc>
        <w:tc>
          <w:tcPr>
            <w:tcW w:w="2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Payment Gateway </w:t>
            </w:r>
            <w:r>
              <w:rPr>
                <w:rFonts w:ascii="Times New Roman;Times;Serif" w:hAnsi="Times New Roman;Times;Serif"/>
                <w:b/>
                <w:spacing w:val="-2"/>
                <w:sz w:val="20"/>
              </w:rPr>
              <w:t>Integration</w:t>
            </w:r>
            <w:r>
              <w:rPr>
                <w:rFonts w:ascii="Times New Roman;Times;Serif" w:hAnsi="Times New Roman;Times;Serif"/>
                <w:b w:val="false"/>
                <w:spacing w:val="-2"/>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75"/>
        <w:gridCol w:w="170"/>
        <w:gridCol w:w="81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Specter processes the withdrawal via an integrated payment gateway (e.g., RazorpayX, Stripe, PayU).</w:t>
            </w:r>
          </w:p>
        </w:tc>
      </w:tr>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pPr>
            <w:r>
              <w:rPr/>
              <w:t>○</w:t>
            </w:r>
          </w:p>
        </w:tc>
        <w:tc>
          <w:tcPr>
            <w:tcW w:w="81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Fund </w:t>
            </w:r>
            <w:r>
              <w:rPr>
                <w:rFonts w:ascii="Times New Roman;Times;Serif" w:hAnsi="Times New Roman;Times;Serif"/>
                <w:b/>
                <w:spacing w:val="-2"/>
                <w:sz w:val="20"/>
              </w:rPr>
              <w:t>Transfer</w:t>
            </w:r>
            <w:r>
              <w:rPr>
                <w:rFonts w:ascii="Times New Roman;Times;Serif" w:hAnsi="Times New Roman;Times;Serif"/>
                <w:b w:val="false"/>
                <w:spacing w:val="-2"/>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requested amount is transferred from the </w:t>
            </w:r>
            <w:r>
              <w:rPr>
                <w:rFonts w:ascii="Times New Roman;Times;Serif" w:hAnsi="Times New Roman;Times;Serif"/>
                <w:b/>
                <w:sz w:val="20"/>
              </w:rPr>
              <w:t>GXR Bank Account</w:t>
            </w:r>
            <w:r>
              <w:rPr>
                <w:rFonts w:ascii="Times New Roman;Times;Serif" w:hAnsi="Times New Roman;Times;Serif"/>
                <w:sz w:val="20"/>
              </w:rPr>
              <w:t xml:space="preserve"> to the user’s bank account.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the </w:t>
            </w:r>
            <w:r>
              <w:rPr>
                <w:rFonts w:ascii="Times New Roman;Times;Serif" w:hAnsi="Times New Roman;Times;Serif"/>
                <w:b/>
                <w:sz w:val="20"/>
              </w:rPr>
              <w:t>transaction fails</w:t>
            </w:r>
            <w:r>
              <w:rPr>
                <w:rFonts w:ascii="Times New Roman;Times;Serif" w:hAnsi="Times New Roman;Times;Serif"/>
                <w:sz w:val="20"/>
              </w:rPr>
              <w:t xml:space="preserve"> (e.g., due to payment gateway errors), Specter automatically </w:t>
            </w:r>
            <w:r>
              <w:rPr>
                <w:rFonts w:ascii="Times New Roman;Times;Serif" w:hAnsi="Times New Roman;Times;Serif"/>
                <w:b/>
                <w:sz w:val="20"/>
              </w:rPr>
              <w:t>refunds the temporarily deducted amount</w:t>
            </w:r>
            <w:r>
              <w:rPr>
                <w:rFonts w:ascii="Times New Roman;Times;Serif" w:hAnsi="Times New Roman;Times;Serif"/>
                <w:sz w:val="20"/>
              </w:rPr>
              <w:t xml:space="preserve"> back to the user’s wallet.</w:t>
            </w:r>
          </w:p>
        </w:tc>
      </w:tr>
    </w:tbl>
    <w:p>
      <w:pPr>
        <w:pStyle w:val="TextBody"/>
        <w:bidi w:val="0"/>
        <w:spacing w:before="0" w:after="0"/>
        <w:ind w:left="0" w:right="0" w:hanging="0"/>
        <w:jc w:val="both"/>
        <w:rPr>
          <w:caps w:val="false"/>
          <w:smallCaps w:val="false"/>
        </w:rPr>
      </w:pPr>
      <w:r>
        <w:rPr>
          <w:caps w:val="false"/>
          <w:smallCaps w:val="false"/>
        </w:rPr>
        <w:t> </w:t>
      </w:r>
    </w:p>
    <w:tbl>
      <w:tblPr>
        <w:tblW w:w="1545" w:type="dxa"/>
        <w:jc w:val="left"/>
        <w:tblInd w:w="0" w:type="dxa"/>
        <w:tblLayout w:type="fixed"/>
        <w:tblCellMar>
          <w:top w:w="0" w:type="dxa"/>
          <w:left w:w="0" w:type="dxa"/>
          <w:bottom w:w="0" w:type="dxa"/>
          <w:right w:w="0" w:type="dxa"/>
        </w:tblCellMar>
      </w:tblPr>
      <w:tblGrid>
        <w:gridCol w:w="75"/>
        <w:gridCol w:w="170"/>
        <w:gridCol w:w="1300"/>
      </w:tblGrid>
      <w:tr>
        <w:trPr/>
        <w:tc>
          <w:tcPr>
            <w:tcW w:w="75" w:type="dxa"/>
            <w:tcBorders/>
            <w:vAlign w:val="center"/>
          </w:tcPr>
          <w:p>
            <w:pPr>
              <w:pStyle w:val="TableContents"/>
              <w:bidi w:val="0"/>
              <w:spacing w:before="0" w:after="283"/>
              <w:ind w:left="0" w:right="0" w:hanging="0"/>
              <w:jc w:val="left"/>
              <w:rPr/>
            </w:pPr>
            <w:r>
              <w:rPr/>
              <w:t> </w:t>
            </w:r>
          </w:p>
        </w:tc>
        <w:tc>
          <w:tcPr>
            <w:tcW w:w="170" w:type="dxa"/>
            <w:tcBorders/>
            <w:vAlign w:val="center"/>
          </w:tcPr>
          <w:p>
            <w:pPr>
              <w:pStyle w:val="TableContents"/>
              <w:bidi w:val="0"/>
              <w:spacing w:before="0" w:after="283"/>
              <w:ind w:left="0" w:right="0" w:hanging="0"/>
              <w:jc w:val="left"/>
              <w:rPr>
                <w:rFonts w:ascii="Times New Roman;Times;Serif" w:hAnsi="Times New Roman;Times;Serif"/>
                <w:b w:val="false"/>
                <w:spacing w:val="-1"/>
                <w:sz w:val="20"/>
              </w:rPr>
            </w:pPr>
            <w:r>
              <w:rPr>
                <w:rFonts w:ascii="Times New Roman;Times;Serif" w:hAnsi="Times New Roman;Times;Serif"/>
                <w:b w:val="false"/>
                <w:spacing w:val="-1"/>
                <w:sz w:val="20"/>
              </w:rPr>
              <w:t>4.</w:t>
            </w:r>
          </w:p>
        </w:tc>
        <w:tc>
          <w:tcPr>
            <w:tcW w:w="13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Wallet </w:t>
            </w:r>
            <w:r>
              <w:rPr>
                <w:rFonts w:ascii="Times New Roman;Times;Serif" w:hAnsi="Times New Roman;Times;Serif"/>
                <w:b/>
                <w:spacing w:val="-2"/>
                <w:sz w:val="20"/>
              </w:rPr>
              <w:t>Update</w:t>
            </w:r>
            <w:r>
              <w:rPr>
                <w:rFonts w:ascii="Times New Roman;Times;Serif" w:hAnsi="Times New Roman;Times;Serif"/>
                <w:b w:val="false"/>
                <w:spacing w:val="-2"/>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2737" w:type="dxa"/>
        <w:jc w:val="left"/>
        <w:tblInd w:w="0" w:type="dxa"/>
        <w:tblLayout w:type="fixed"/>
        <w:tblCellMar>
          <w:top w:w="0" w:type="dxa"/>
          <w:left w:w="0" w:type="dxa"/>
          <w:bottom w:w="0" w:type="dxa"/>
          <w:right w:w="0" w:type="dxa"/>
        </w:tblCellMar>
      </w:tblPr>
      <w:tblGrid>
        <w:gridCol w:w="75"/>
        <w:gridCol w:w="170"/>
        <w:gridCol w:w="2492"/>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If the transaction is </w:t>
            </w:r>
            <w:r>
              <w:rPr>
                <w:rFonts w:ascii="Times New Roman;Times;Serif" w:hAnsi="Times New Roman;Times;Serif"/>
                <w:spacing w:val="-2"/>
                <w:sz w:val="20"/>
              </w:rPr>
              <w:t>successful:</w:t>
            </w:r>
          </w:p>
        </w:tc>
      </w:tr>
    </w:tbl>
    <w:p>
      <w:pPr>
        <w:pStyle w:val="TextBody"/>
        <w:bidi w:val="0"/>
        <w:spacing w:before="0" w:after="0"/>
        <w:ind w:left="0" w:right="0" w:hanging="0"/>
        <w:jc w:val="both"/>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75"/>
        <w:gridCol w:w="170"/>
        <w:gridCol w:w="4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wallet balance remains updated to reflect the </w:t>
            </w:r>
            <w:r>
              <w:rPr>
                <w:rFonts w:ascii="Times New Roman;Times;Serif" w:hAnsi="Times New Roman;Times;Serif"/>
                <w:spacing w:val="-2"/>
                <w:sz w:val="20"/>
              </w:rPr>
              <w:t>withdrawal.</w:t>
            </w:r>
          </w:p>
        </w:tc>
      </w:tr>
    </w:tbl>
    <w:p>
      <w:pPr>
        <w:pStyle w:val="TextBody"/>
        <w:bidi w:val="0"/>
        <w:spacing w:before="0" w:after="0"/>
        <w:ind w:left="0" w:right="0" w:hanging="0"/>
        <w:jc w:val="both"/>
        <w:rPr>
          <w:caps w:val="false"/>
          <w:smallCaps w:val="false"/>
        </w:rPr>
      </w:pPr>
      <w:r>
        <w:rPr>
          <w:caps w:val="false"/>
          <w:smallCaps w:val="false"/>
        </w:rPr>
        <w:t> </w:t>
      </w:r>
    </w:p>
    <w:tbl>
      <w:tblPr>
        <w:tblW w:w="2087" w:type="dxa"/>
        <w:jc w:val="left"/>
        <w:tblInd w:w="0" w:type="dxa"/>
        <w:tblLayout w:type="fixed"/>
        <w:tblCellMar>
          <w:top w:w="0" w:type="dxa"/>
          <w:left w:w="0" w:type="dxa"/>
          <w:bottom w:w="0" w:type="dxa"/>
          <w:right w:w="0" w:type="dxa"/>
        </w:tblCellMar>
      </w:tblPr>
      <w:tblGrid>
        <w:gridCol w:w="75"/>
        <w:gridCol w:w="170"/>
        <w:gridCol w:w="1842"/>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8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the transaction </w:t>
            </w:r>
            <w:r>
              <w:rPr>
                <w:rFonts w:ascii="Times New Roman;Times;Serif" w:hAnsi="Times New Roman;Times;Serif"/>
                <w:spacing w:val="-2"/>
                <w:sz w:val="20"/>
              </w:rPr>
              <w:t>fails:</w:t>
            </w:r>
          </w:p>
        </w:tc>
      </w:tr>
    </w:tbl>
    <w:p>
      <w:pPr>
        <w:pStyle w:val="TextBody"/>
        <w:bidi w:val="0"/>
        <w:spacing w:before="0" w:after="0"/>
        <w:ind w:left="0" w:right="0" w:hanging="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75"/>
        <w:gridCol w:w="170"/>
        <w:gridCol w:w="69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Specter refunds the temporarily held amount, and the user’s wallet balance is restored.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Key Components of the </w:t>
      </w:r>
      <w:r>
        <w:rPr>
          <w:rFonts w:ascii="Times New Roman;Times;Serif" w:hAnsi="Times New Roman;Times;Serif"/>
          <w:b/>
          <w:i w:val="false"/>
          <w:caps w:val="false"/>
          <w:smallCaps w:val="false"/>
          <w:spacing w:val="-2"/>
          <w:sz w:val="20"/>
        </w:rPr>
        <w:t>System</w:t>
      </w:r>
    </w:p>
    <w:p>
      <w:pPr>
        <w:pStyle w:val="TextBody"/>
        <w:bidi w:val="0"/>
        <w:spacing w:before="0" w:after="0"/>
        <w:ind w:left="0" w:right="0" w:hanging="0"/>
        <w:jc w:val="left"/>
        <w:rPr>
          <w:caps w:val="false"/>
          <w:smallCaps w:val="false"/>
          <w:spacing w:val="-2"/>
        </w:rPr>
      </w:pPr>
      <w:r>
        <w:rPr>
          <w:caps w:val="false"/>
          <w:smallCaps w:val="false"/>
          <w:spacing w:val="-2"/>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1. </w:t>
      </w:r>
      <w:r>
        <w:rPr>
          <w:rFonts w:ascii="Times New Roman;Times;Serif" w:hAnsi="Times New Roman;Times;Serif"/>
          <w:b/>
          <w:i w:val="false"/>
          <w:caps w:val="false"/>
          <w:smallCaps w:val="false"/>
          <w:sz w:val="20"/>
        </w:rPr>
        <w:t xml:space="preserve">GXR Bank </w:t>
      </w:r>
      <w:r>
        <w:rPr>
          <w:rFonts w:ascii="Times New Roman;Times;Serif" w:hAnsi="Times New Roman;Times;Serif"/>
          <w:b/>
          <w:i w:val="false"/>
          <w:caps w:val="false"/>
          <w:smallCaps w:val="false"/>
          <w:spacing w:val="-2"/>
          <w:sz w:val="20"/>
        </w:rPr>
        <w:t>Account</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Centralized account for all fund flows, including deposits and </w:t>
      </w:r>
      <w:r>
        <w:rPr>
          <w:rFonts w:ascii="Times New Roman;Times;Serif" w:hAnsi="Times New Roman;Times;Serif"/>
          <w:b w:val="false"/>
          <w:i w:val="false"/>
          <w:caps w:val="false"/>
          <w:smallCaps w:val="false"/>
          <w:spacing w:val="-2"/>
          <w:sz w:val="20"/>
        </w:rPr>
        <w:t>withdrawals.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2. </w:t>
      </w:r>
      <w:r>
        <w:rPr>
          <w:rFonts w:ascii="Times New Roman;Times;Serif" w:hAnsi="Times New Roman;Times;Serif"/>
          <w:b/>
          <w:i w:val="false"/>
          <w:caps w:val="false"/>
          <w:smallCaps w:val="false"/>
          <w:sz w:val="20"/>
        </w:rPr>
        <w:t xml:space="preserve">Specter Wallet </w:t>
      </w:r>
      <w:r>
        <w:rPr>
          <w:rFonts w:ascii="Times New Roman;Times;Serif" w:hAnsi="Times New Roman;Times;Serif"/>
          <w:b/>
          <w:i w:val="false"/>
          <w:caps w:val="false"/>
          <w:smallCaps w:val="false"/>
          <w:spacing w:val="-2"/>
          <w:sz w:val="20"/>
        </w:rPr>
        <w:t>System</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Internal wallet that manages all user transactions </w:t>
      </w:r>
      <w:r>
        <w:rPr>
          <w:rFonts w:ascii="Times New Roman;Times;Serif" w:hAnsi="Times New Roman;Times;Serif"/>
          <w:b w:val="false"/>
          <w:i w:val="false"/>
          <w:caps w:val="false"/>
          <w:smallCaps w:val="false"/>
          <w:spacing w:val="-2"/>
          <w:sz w:val="20"/>
        </w:rPr>
        <w:t>securely.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Handles wallet balances, deductions (GST, platform fees), and </w:t>
      </w:r>
      <w:r>
        <w:rPr>
          <w:rFonts w:ascii="Times New Roman;Times;Serif" w:hAnsi="Times New Roman;Times;Serif"/>
          <w:b w:val="false"/>
          <w:i w:val="false"/>
          <w:caps w:val="false"/>
          <w:smallCaps w:val="false"/>
          <w:spacing w:val="-2"/>
          <w:sz w:val="20"/>
        </w:rPr>
        <w:t>winnings.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3. </w:t>
      </w:r>
      <w:r>
        <w:rPr>
          <w:rFonts w:ascii="Times New Roman;Times;Serif" w:hAnsi="Times New Roman;Times;Serif"/>
          <w:b/>
          <w:i w:val="false"/>
          <w:caps w:val="false"/>
          <w:smallCaps w:val="false"/>
          <w:sz w:val="20"/>
        </w:rPr>
        <w:t xml:space="preserve">Payment </w:t>
      </w:r>
      <w:r>
        <w:rPr>
          <w:rFonts w:ascii="Times New Roman;Times;Serif" w:hAnsi="Times New Roman;Times;Serif"/>
          <w:b/>
          <w:i w:val="false"/>
          <w:caps w:val="false"/>
          <w:smallCaps w:val="false"/>
          <w:spacing w:val="-2"/>
          <w:sz w:val="20"/>
        </w:rPr>
        <w:t>Gateways</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Facilitate secure movement of funds to and from the GXR Bank </w:t>
      </w:r>
      <w:r>
        <w:rPr>
          <w:rFonts w:ascii="Times New Roman;Times;Serif" w:hAnsi="Times New Roman;Times;Serif"/>
          <w:b w:val="false"/>
          <w:i w:val="false"/>
          <w:caps w:val="false"/>
          <w:smallCaps w:val="false"/>
          <w:spacing w:val="-2"/>
          <w:sz w:val="20"/>
        </w:rPr>
        <w:t>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4. </w:t>
      </w:r>
      <w:r>
        <w:rPr>
          <w:rFonts w:ascii="Times New Roman;Times;Serif" w:hAnsi="Times New Roman;Times;Serif"/>
          <w:b/>
          <w:i w:val="false"/>
          <w:caps w:val="false"/>
          <w:smallCaps w:val="false"/>
          <w:spacing w:val="-2"/>
          <w:sz w:val="20"/>
        </w:rPr>
        <w:t>Compliance</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GST</w:t>
      </w:r>
      <w:r>
        <w:rPr>
          <w:rFonts w:ascii="Times New Roman;Times;Serif" w:hAnsi="Times New Roman;Times;Serif"/>
          <w:b w:val="false"/>
          <w:i w:val="false"/>
          <w:caps w:val="false"/>
          <w:smallCaps w:val="false"/>
          <w:sz w:val="20"/>
        </w:rPr>
        <w:t xml:space="preserve">: Applied and recorded during entry fee </w:t>
      </w:r>
      <w:r>
        <w:rPr>
          <w:rFonts w:ascii="Times New Roman;Times;Serif" w:hAnsi="Times New Roman;Times;Serif"/>
          <w:b w:val="false"/>
          <w:i w:val="false"/>
          <w:caps w:val="false"/>
          <w:smallCaps w:val="false"/>
          <w:spacing w:val="-2"/>
          <w:sz w:val="20"/>
        </w:rPr>
        <w:t>deductions.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Platform Fee</w:t>
      </w:r>
      <w:r>
        <w:rPr>
          <w:rFonts w:ascii="Times New Roman;Times;Serif" w:hAnsi="Times New Roman;Times;Serif"/>
          <w:b w:val="false"/>
          <w:i w:val="false"/>
          <w:caps w:val="false"/>
          <w:smallCaps w:val="false"/>
          <w:sz w:val="20"/>
        </w:rPr>
        <w:t xml:space="preserve">: Deducted as part of the entry fee and recorded as GXR </w:t>
      </w:r>
      <w:r>
        <w:rPr>
          <w:rFonts w:ascii="Times New Roman;Times;Serif" w:hAnsi="Times New Roman;Times;Serif"/>
          <w:b w:val="false"/>
          <w:i w:val="false"/>
          <w:caps w:val="false"/>
          <w:smallCaps w:val="false"/>
          <w:spacing w:val="-2"/>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TDS</w:t>
      </w:r>
      <w:r>
        <w:rPr>
          <w:rFonts w:ascii="Times New Roman;Times;Serif" w:hAnsi="Times New Roman;Times;Serif"/>
          <w:b w:val="false"/>
          <w:i w:val="false"/>
          <w:caps w:val="false"/>
          <w:smallCaps w:val="false"/>
          <w:sz w:val="20"/>
        </w:rPr>
        <w:t xml:space="preserve">: Applied to winnings before crediting the </w:t>
      </w:r>
      <w:r>
        <w:rPr>
          <w:rFonts w:ascii="Times New Roman;Times;Serif" w:hAnsi="Times New Roman;Times;Serif"/>
          <w:b w:val="false"/>
          <w:i w:val="false"/>
          <w:caps w:val="false"/>
          <w:smallCaps w:val="false"/>
          <w:spacing w:val="-2"/>
          <w:sz w:val="20"/>
        </w:rPr>
        <w:t>wallet.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System Flow </w:t>
      </w:r>
      <w:r>
        <w:rPr>
          <w:rFonts w:ascii="Times New Roman;Times;Serif" w:hAnsi="Times New Roman;Times;Serif"/>
          <w:b/>
          <w:i w:val="false"/>
          <w:caps w:val="false"/>
          <w:smallCaps w:val="false"/>
          <w:spacing w:val="-2"/>
          <w:sz w:val="20"/>
        </w:rPr>
        <w:t>Summary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1.</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Deposits</w:t>
            </w:r>
            <w:r>
              <w:rPr>
                <w:rFonts w:ascii="Times New Roman;Times;Serif" w:hAnsi="Times New Roman;Times;Serif"/>
                <w:sz w:val="20"/>
              </w:rPr>
              <w:t xml:space="preserve">: Specter validates deposits, creates payment orders, and credits user wallets </w:t>
            </w:r>
            <w:r>
              <w:rPr>
                <w:rFonts w:ascii="Times New Roman;Times;Serif" w:hAnsi="Times New Roman;Times;Serif"/>
                <w:spacing w:val="-2"/>
                <w:sz w:val="20"/>
              </w:rPr>
              <w:t>post-payment.</w:t>
            </w:r>
          </w:p>
        </w:tc>
      </w:tr>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2.</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Competitions</w:t>
            </w:r>
            <w:r>
              <w:rPr>
                <w:rFonts w:ascii="Times New Roman;Times;Serif" w:hAnsi="Times New Roman;Times;Serif"/>
                <w:sz w:val="20"/>
              </w:rPr>
              <w:t xml:space="preserve">: Entry fees are deducted, </w:t>
            </w:r>
            <w:r>
              <w:rPr>
                <w:rFonts w:ascii="Times New Roman;Times;Serif" w:hAnsi="Times New Roman;Times;Serif"/>
                <w:b/>
                <w:sz w:val="20"/>
              </w:rPr>
              <w:t>GST is applied and recorded</w:t>
            </w:r>
            <w:r>
              <w:rPr>
                <w:rFonts w:ascii="Times New Roman;Times;Serif" w:hAnsi="Times New Roman;Times;Serif"/>
                <w:sz w:val="20"/>
              </w:rPr>
              <w:t xml:space="preserve">, and </w:t>
            </w:r>
            <w:r>
              <w:rPr>
                <w:rFonts w:ascii="Times New Roman;Times;Serif" w:hAnsi="Times New Roman;Times;Serif"/>
                <w:spacing w:val="-5"/>
                <w:sz w:val="20"/>
              </w:rPr>
              <w:t xml:space="preserve">the </w:t>
            </w:r>
            <w:r>
              <w:rPr>
                <w:rFonts w:ascii="Times New Roman;Times;Serif" w:hAnsi="Times New Roman;Times;Serif"/>
                <w:b/>
                <w:sz w:val="20"/>
              </w:rPr>
              <w:t>platform fee is captured as GXR revenue</w:t>
            </w:r>
            <w:r>
              <w:rPr>
                <w:rFonts w:ascii="Times New Roman;Times;Serif" w:hAnsi="Times New Roman;Times;Serif"/>
                <w:sz w:val="20"/>
              </w:rPr>
              <w:t xml:space="preserve">. The remaining funds form the prize </w:t>
            </w:r>
            <w:r>
              <w:rPr>
                <w:rFonts w:ascii="Times New Roman;Times;Serif" w:hAnsi="Times New Roman;Times;Serif"/>
                <w:spacing w:val="-2"/>
                <w:sz w:val="20"/>
              </w:rPr>
              <w:t>pool.</w:t>
            </w:r>
          </w:p>
        </w:tc>
      </w:tr>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3.</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Winnings</w:t>
            </w:r>
            <w:r>
              <w:rPr>
                <w:rFonts w:ascii="Times New Roman;Times;Serif" w:hAnsi="Times New Roman;Times;Serif"/>
                <w:sz w:val="20"/>
              </w:rPr>
              <w:t xml:space="preserve">: Results are validated, </w:t>
            </w:r>
            <w:r>
              <w:rPr>
                <w:rFonts w:ascii="Times New Roman;Times;Serif" w:hAnsi="Times New Roman;Times;Serif"/>
                <w:b/>
                <w:sz w:val="20"/>
              </w:rPr>
              <w:t>TDS is deducted</w:t>
            </w:r>
            <w:r>
              <w:rPr>
                <w:rFonts w:ascii="Times New Roman;Times;Serif" w:hAnsi="Times New Roman;Times;Serif"/>
                <w:sz w:val="20"/>
              </w:rPr>
              <w:t xml:space="preserve">, and net winnings are credited to </w:t>
            </w:r>
            <w:r>
              <w:rPr>
                <w:rFonts w:ascii="Times New Roman;Times;Serif" w:hAnsi="Times New Roman;Times;Serif"/>
                <w:spacing w:val="-2"/>
                <w:sz w:val="20"/>
              </w:rPr>
              <w:t>wallets.</w:t>
            </w:r>
          </w:p>
        </w:tc>
      </w:tr>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rFonts w:ascii="Times New Roman;Times;Serif" w:hAnsi="Times New Roman;Times;Serif"/>
                <w:spacing w:val="-1"/>
                <w:sz w:val="20"/>
              </w:rPr>
            </w:pPr>
            <w:r>
              <w:rPr>
                <w:rFonts w:ascii="Times New Roman;Times;Serif" w:hAnsi="Times New Roman;Times;Serif"/>
                <w:spacing w:val="-1"/>
                <w:sz w:val="20"/>
              </w:rPr>
              <w:t>4.</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Withdrawals</w:t>
            </w:r>
            <w:r>
              <w:rPr>
                <w:rFonts w:ascii="Times New Roman;Times;Serif" w:hAnsi="Times New Roman;Times;Serif"/>
                <w:sz w:val="20"/>
              </w:rPr>
              <w:t xml:space="preserve">: Specter validates and processes withdrawals via payment </w:t>
            </w:r>
            <w:r>
              <w:rPr>
                <w:rFonts w:ascii="Times New Roman;Times;Serif" w:hAnsi="Times New Roman;Times;Serif"/>
                <w:spacing w:val="-2"/>
                <w:sz w:val="20"/>
              </w:rPr>
              <w:t>gateways.</w:t>
            </w:r>
          </w:p>
        </w:tc>
      </w:tr>
    </w:tbl>
    <w:p>
      <w:pPr>
        <w:pStyle w:val="TextBody"/>
        <w:bidi w:val="0"/>
        <w:spacing w:before="0" w:after="0"/>
        <w:ind w:left="0" w:right="0" w:hanging="0"/>
        <w:jc w:val="left"/>
        <w:rPr>
          <w:caps w:val="false"/>
          <w:smallCaps w:val="false"/>
          <w:spacing w:val="-2"/>
        </w:rPr>
      </w:pPr>
      <w:r>
        <w:rPr>
          <w:caps w:val="false"/>
          <w:smallCaps w:val="false"/>
          <w:spacing w:val="-2"/>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spacing w:val="-2"/>
        </w:rPr>
      </w:pPr>
      <w:r>
        <w:rPr>
          <w:caps w:val="false"/>
          <w:smallCaps w:val="false"/>
          <w:spacing w:val="-2"/>
        </w:rPr>
        <w:t> </w:t>
      </w:r>
    </w:p>
    <w:p>
      <w:pPr>
        <w:pStyle w:val="TextBody"/>
        <w:bidi w:val="0"/>
        <w:spacing w:before="0" w:after="0"/>
        <w:ind w:left="360" w:right="0"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Conclusion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val="false"/>
          <w:caps w:val="false"/>
          <w:smallCaps w:val="false"/>
          <w:sz w:val="20"/>
        </w:rPr>
        <w:t>GXR Wallet System</w:t>
      </w:r>
      <w:r>
        <w:rPr>
          <w:rFonts w:ascii="Times New Roman;Times;Serif" w:hAnsi="Times New Roman;Times;Serif"/>
          <w:b w:val="false"/>
          <w:i w:val="false"/>
          <w:caps w:val="false"/>
          <w:smallCaps w:val="false"/>
          <w:sz w:val="20"/>
        </w:rPr>
        <w:t xml:space="preserve">, integrated with Specter, </w:t>
      </w:r>
      <w:r>
        <w:rPr>
          <w:rFonts w:ascii="Times New Roman;Times;Serif" w:hAnsi="Times New Roman;Times;Serif"/>
          <w:b w:val="false"/>
          <w:i w:val="false"/>
          <w:caps w:val="false"/>
          <w:smallCaps w:val="false"/>
          <w:spacing w:val="-2"/>
          <w:sz w:val="20"/>
        </w:rPr>
        <w:t>ensures:</w:t>
      </w:r>
    </w:p>
    <w:p>
      <w:pPr>
        <w:pStyle w:val="TextBody"/>
        <w:bidi w:val="0"/>
        <w:spacing w:before="0" w:after="0"/>
        <w:ind w:left="0" w:right="0" w:hanging="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75"/>
        <w:gridCol w:w="170"/>
        <w:gridCol w:w="8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Accurate fund management</w:t>
            </w:r>
            <w:r>
              <w:rPr>
                <w:rFonts w:ascii="Times New Roman;Times;Serif" w:hAnsi="Times New Roman;Times;Serif"/>
                <w:sz w:val="20"/>
              </w:rPr>
              <w:t xml:space="preserve"> with validations at every </w:t>
            </w:r>
            <w:r>
              <w:rPr>
                <w:rFonts w:ascii="Times New Roman;Times;Serif" w:hAnsi="Times New Roman;Times;Serif"/>
                <w:spacing w:val="-2"/>
                <w:sz w:val="20"/>
              </w:rPr>
              <w:t>step.</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GST and platform fee deductions</w:t>
            </w:r>
            <w:r>
              <w:rPr>
                <w:rFonts w:ascii="Times New Roman;Times;Serif" w:hAnsi="Times New Roman;Times;Serif"/>
                <w:sz w:val="20"/>
              </w:rPr>
              <w:t xml:space="preserve"> are handled seamlessly and recorded for compliance and revenue tracking.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Secure wallet operations</w:t>
            </w:r>
            <w:r>
              <w:rPr>
                <w:rFonts w:ascii="Times New Roman;Times;Serif" w:hAnsi="Times New Roman;Times;Serif"/>
                <w:sz w:val="20"/>
              </w:rPr>
              <w:t xml:space="preserve">, taxation compliance (GST, TDS), and efficient prize pool </w:t>
            </w:r>
            <w:r>
              <w:rPr>
                <w:rFonts w:ascii="Times New Roman;Times;Serif" w:hAnsi="Times New Roman;Times;Serif"/>
                <w:spacing w:val="-2"/>
                <w:sz w:val="20"/>
              </w:rPr>
              <w:t>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5. </w:t>
      </w:r>
      <w:r>
        <w:rPr>
          <w:rFonts w:ascii="Times New Roman;Times;Serif" w:hAnsi="Times New Roman;Times;Serif"/>
          <w:b w:val="false"/>
          <w:i w:val="false"/>
          <w:caps w:val="false"/>
          <w:smallCaps w:val="false"/>
          <w:sz w:val="20"/>
        </w:rPr>
        <w:t xml:space="preserve">Specter Integration with KYC and AML </w:t>
      </w:r>
      <w:r>
        <w:rPr>
          <w:rFonts w:ascii="Times New Roman;Times;Serif" w:hAnsi="Times New Roman;Times;Serif"/>
          <w:b w:val="false"/>
          <w:i w:val="false"/>
          <w:caps w:val="false"/>
          <w:smallCaps w:val="false"/>
          <w:spacing w:val="-2"/>
          <w:sz w:val="20"/>
        </w:rPr>
        <w:t>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Specter can integrate with third-party platforms to facilitate </w:t>
      </w:r>
      <w:r>
        <w:rPr>
          <w:rFonts w:ascii="Times New Roman;Times;Serif" w:hAnsi="Times New Roman;Times;Serif"/>
          <w:b/>
          <w:i w:val="false"/>
          <w:caps w:val="false"/>
          <w:smallCaps w:val="false"/>
          <w:sz w:val="20"/>
        </w:rPr>
        <w:t>Know Your Customer (KYC)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Anti-Money Laundering (AML) </w:t>
      </w:r>
      <w:r>
        <w:rPr>
          <w:rFonts w:ascii="Times New Roman;Times;Serif" w:hAnsi="Times New Roman;Times;Serif"/>
          <w:b w:val="false"/>
          <w:i w:val="false"/>
          <w:caps w:val="false"/>
          <w:smallCaps w:val="false"/>
          <w:sz w:val="20"/>
        </w:rPr>
        <w:t>processes, ensuring secure and compliant user onboarding and transaction monitoring.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Suggested 3rd party partner - </w:t>
      </w:r>
      <w:r>
        <w:rPr>
          <w:rFonts w:ascii="Times New Roman;Times;Serif" w:hAnsi="Times New Roman;Times;Serif"/>
          <w:b/>
          <w:i/>
          <w:caps w:val="false"/>
          <w:smallCaps w:val="false"/>
          <w:spacing w:val="-4"/>
          <w:sz w:val="20"/>
        </w:rPr>
        <w:t>Idfy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1. </w:t>
      </w:r>
      <w:r>
        <w:rPr>
          <w:rFonts w:ascii="Times New Roman;Times;Serif" w:hAnsi="Times New Roman;Times;Serif"/>
          <w:b/>
          <w:i w:val="false"/>
          <w:caps w:val="false"/>
          <w:smallCaps w:val="false"/>
          <w:sz w:val="20"/>
        </w:rPr>
        <w:t xml:space="preserve">KYC </w:t>
      </w:r>
      <w:r>
        <w:rPr>
          <w:rFonts w:ascii="Times New Roman;Times;Serif" w:hAnsi="Times New Roman;Times;Serif"/>
          <w:b/>
          <w:i w:val="false"/>
          <w:caps w:val="false"/>
          <w:smallCaps w:val="false"/>
          <w:spacing w:val="-2"/>
          <w:sz w:val="20"/>
        </w:rPr>
        <w:t>Integration</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7160" w:type="dxa"/>
        <w:jc w:val="left"/>
        <w:tblInd w:w="0" w:type="dxa"/>
        <w:tblLayout w:type="fixed"/>
        <w:tblCellMar>
          <w:top w:w="0" w:type="dxa"/>
          <w:left w:w="0" w:type="dxa"/>
          <w:bottom w:w="0" w:type="dxa"/>
          <w:right w:w="0" w:type="dxa"/>
        </w:tblCellMar>
      </w:tblPr>
      <w:tblGrid>
        <w:gridCol w:w="75"/>
        <w:gridCol w:w="170"/>
        <w:gridCol w:w="6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Verifies user identities during </w:t>
            </w:r>
            <w:r>
              <w:rPr>
                <w:rFonts w:ascii="Times New Roman;Times;Serif" w:hAnsi="Times New Roman;Times;Serif"/>
                <w:spacing w:val="-2"/>
                <w:sz w:val="20"/>
              </w:rPr>
              <w:t>onboarding.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Ensures only verified users can access the platform and participate in RMG </w:t>
            </w:r>
            <w:r>
              <w:rPr>
                <w:rFonts w:ascii="Times New Roman;Times;Serif" w:hAnsi="Times New Roman;Times;Serif"/>
                <w:spacing w:val="-2"/>
                <w:sz w:val="20"/>
              </w:rPr>
              <w:t>activities.</w:t>
            </w:r>
          </w:p>
        </w:tc>
      </w:tr>
    </w:tbl>
    <w:p>
      <w:pPr>
        <w:pStyle w:val="TextBody"/>
        <w:bidi w:val="0"/>
        <w:spacing w:before="0" w:after="0"/>
        <w:ind w:left="0" w:right="0" w:hanging="0"/>
        <w:jc w:val="left"/>
        <w:rPr>
          <w:caps w:val="false"/>
          <w:smallCaps w:val="false"/>
          <w:spacing w:val="-1"/>
        </w:rPr>
      </w:pPr>
      <w:r>
        <w:rPr>
          <w:caps w:val="false"/>
          <w:smallCaps w:val="false"/>
          <w:spacing w:val="-1"/>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pacing w:val="-1"/>
          <w:sz w:val="20"/>
        </w:rPr>
        <w:t xml:space="preserve">2. </w:t>
      </w:r>
      <w:r>
        <w:rPr>
          <w:rFonts w:ascii="Times New Roman;Times;Serif" w:hAnsi="Times New Roman;Times;Serif"/>
          <w:b/>
          <w:i w:val="false"/>
          <w:caps w:val="false"/>
          <w:smallCaps w:val="false"/>
          <w:sz w:val="20"/>
        </w:rPr>
        <w:t xml:space="preserve">AML </w:t>
      </w:r>
      <w:r>
        <w:rPr>
          <w:rFonts w:ascii="Times New Roman;Times;Serif" w:hAnsi="Times New Roman;Times;Serif"/>
          <w:b/>
          <w:i w:val="false"/>
          <w:caps w:val="false"/>
          <w:smallCaps w:val="false"/>
          <w:spacing w:val="-2"/>
          <w:sz w:val="20"/>
        </w:rPr>
        <w:t>Integration</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left"/>
        <w:rPr>
          <w:caps w:val="false"/>
          <w:smallCaps w:val="false"/>
        </w:rPr>
      </w:pPr>
      <w:r>
        <w:rPr>
          <w:caps w:val="false"/>
          <w:smallCaps w:val="false"/>
        </w:rPr>
        <w:t> </w:t>
      </w:r>
    </w:p>
    <w:tbl>
      <w:tblPr>
        <w:tblW w:w="7638" w:type="dxa"/>
        <w:jc w:val="left"/>
        <w:tblInd w:w="0" w:type="dxa"/>
        <w:tblLayout w:type="fixed"/>
        <w:tblCellMar>
          <w:top w:w="0" w:type="dxa"/>
          <w:left w:w="0" w:type="dxa"/>
          <w:bottom w:w="0" w:type="dxa"/>
          <w:right w:w="0" w:type="dxa"/>
        </w:tblCellMar>
      </w:tblPr>
      <w:tblGrid>
        <w:gridCol w:w="75"/>
        <w:gridCol w:w="170"/>
        <w:gridCol w:w="7393"/>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Monitors transactions against regulatory lists (e.g., sanctions, PEP, adverse </w:t>
            </w:r>
            <w:r>
              <w:rPr>
                <w:rFonts w:ascii="Times New Roman;Times;Serif" w:hAnsi="Times New Roman;Times;Serif"/>
                <w:spacing w:val="-2"/>
                <w:sz w:val="20"/>
              </w:rPr>
              <w:t>media).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Identifies and flags suspicious activities to maintain compliance with financial </w:t>
            </w:r>
            <w:r>
              <w:rPr>
                <w:rFonts w:ascii="Times New Roman;Times;Serif" w:hAnsi="Times New Roman;Times;Serif"/>
                <w:spacing w:val="-2"/>
                <w:sz w:val="20"/>
              </w:rPr>
              <w:t>regulations.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integration supports secure operations while aligning with necessary regulatory </w:t>
      </w:r>
      <w:r>
        <w:rPr>
          <w:rFonts w:ascii="Times New Roman;Times;Serif" w:hAnsi="Times New Roman;Times;Serif"/>
          <w:b w:val="false"/>
          <w:i w:val="false"/>
          <w:caps w:val="false"/>
          <w:smallCaps w:val="false"/>
          <w:spacing w:val="-2"/>
          <w:sz w:val="20"/>
        </w:rPr>
        <w:t>standards.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GXR App - Social Module Open Specifications</w:t>
      </w:r>
    </w:p>
    <w:p>
      <w:pPr>
        <w:pStyle w:val="TextBody"/>
        <w:bidi w:val="0"/>
        <w:spacing w:before="0" w:after="0"/>
        <w:ind w:left="0" w:right="0" w:hanging="0"/>
        <w:jc w:val="left"/>
        <w:rPr>
          <w:caps w:val="false"/>
          <w:smallCaps w:val="false"/>
        </w:rPr>
      </w:pPr>
      <w:r>
        <w:rPr>
          <w:caps w:val="false"/>
          <w:smallCaps w:val="false"/>
        </w:rPr>
        <w:t> </w:t>
      </w:r>
    </w:p>
    <w:tbl>
      <w:tblPr>
        <w:tblW w:w="3874" w:type="dxa"/>
        <w:jc w:val="left"/>
        <w:tblInd w:w="0" w:type="dxa"/>
        <w:tblLayout w:type="fixed"/>
        <w:tblCellMar>
          <w:top w:w="0" w:type="dxa"/>
          <w:left w:w="0" w:type="dxa"/>
          <w:bottom w:w="0" w:type="dxa"/>
          <w:right w:w="0" w:type="dxa"/>
        </w:tblCellMar>
      </w:tblPr>
      <w:tblGrid>
        <w:gridCol w:w="81"/>
        <w:gridCol w:w="65"/>
        <w:gridCol w:w="3728"/>
      </w:tblGrid>
      <w:tr>
        <w:trPr/>
        <w:tc>
          <w:tcPr>
            <w:tcW w:w="3874"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GXR App - Social Module Open Specifications</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93"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Overview</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93"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System Architecture</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Architecture Overview</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Communication Flow</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Authentication Flow</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Notification System</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93"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Features &amp; Screens</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Social Feed</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User Profiles</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Stories</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Hubs &amp; Communities</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Post Creation &amp; Interaction</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Basic Messaging</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93"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Suggested API Endpoints</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Authentication Integration</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Suggested Social Feed Endpoints</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Suggested Posts &amp; Content Endpoints</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Suggested Comments Endpoints</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Suggested Stories Endpoints</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Suggested User Endpoints</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Suggested Hubs Endpoints</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Suggested Messaging Endpoints</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93"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Data Models</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User Profile</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Post</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Comment</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Story</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Hub/Community</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Message</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Notification</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93"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Authentication &amp; Security Requirements</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Authentication Flow</w:t>
            </w:r>
          </w:p>
        </w:tc>
      </w:tr>
      <w:tr>
        <w:trPr/>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Security Requirements</w:t>
            </w:r>
          </w:p>
        </w:tc>
      </w:tr>
      <w:tr>
        <w:trPr/>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93"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Performance Requirements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75"/>
        <w:gridCol w:w="60"/>
        <w:gridCol w:w="3965"/>
      </w:tblGrid>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API Performance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Media Handling</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Testing Requirements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Testing Approach</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Deliverables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Backend Development</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Documentation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DevOps Support</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9.4.1 Infrastructure Provisioning &amp; Management</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9.4.2 Operational Management</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9.4.3 Maintenance &amp; Updates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9.4.4 Capacity Planning</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Appendix</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Glossary</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Reference Materials </w:t>
            </w:r>
          </w:p>
        </w:tc>
      </w:tr>
      <w:tr>
        <w:trPr/>
        <w:tc>
          <w:tcPr>
            <w:tcW w:w="4100" w:type="dxa"/>
            <w:gridSpan w:val="3"/>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Specter Server Architecture</w:t>
            </w:r>
          </w:p>
        </w:tc>
      </w:tr>
      <w:tr>
        <w:trPr/>
        <w:tc>
          <w:tcPr>
            <w:tcW w:w="4100"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GXR App - Social Module Product Requirements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2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Introduction</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User Personas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Primary User Personas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Key User Journeys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First-Time Social Experience</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Daily Engagement Flow</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Match Day Experience</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Screen Flows &amp; Features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Social Feed Screen</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Stories Experience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Post Creation &amp; Interaction</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User Profiles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Hubs (Community Forums)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Messaging</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Notifications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Content Types &amp; Specifications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Post Types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Story Specifications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Comment Specifications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User Journey Maps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New User Onboarding to Social Engagement</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Creating and Sharing Content</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Match Day Social Experience</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Feature Requirements by Priority</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440" w:type="dxa"/>
        <w:jc w:val="left"/>
        <w:tblInd w:w="0" w:type="dxa"/>
        <w:tblLayout w:type="fixed"/>
        <w:tblCellMar>
          <w:top w:w="0" w:type="dxa"/>
          <w:left w:w="0" w:type="dxa"/>
          <w:bottom w:w="0" w:type="dxa"/>
          <w:right w:w="0" w:type="dxa"/>
        </w:tblCellMar>
      </w:tblPr>
      <w:tblGrid>
        <w:gridCol w:w="75"/>
        <w:gridCol w:w="60"/>
        <w:gridCol w:w="3305"/>
      </w:tblGrid>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Must-Have Features (MVP)</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High-Priority Features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Nice-to-Have Features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Integration Requirements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Specter Backend Integration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Content Syncing</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Implementation Considerations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Phased Rollout Approach</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Testing Focus Areas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Success Metrics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Engagement Metrics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Retention Metrics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Growth Metrics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Conclusion</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Content Discovery &amp; Feed Algorithms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“For You” Feed Logic</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“Following” Feed Logic</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“Trending” Feed Logic</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Hub (Community) Features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Hub Discovery &amp; Recommendations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Hub Content Organization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Hub Membership &amp; Participation</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Social Features &amp; User Interactions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Social Discovery</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User Activity Signals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Content Promotion Rules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Content Moderation &amp; Quality</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Auto-Moderation Rules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Community Moderation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Notification Logic</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Push Notification Triggers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Smart Notification Timing</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Search &amp; Discovery</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Search Ranking</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Hashtag Trending</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Performance &amp; Anti-Spam Measures</w:t>
            </w:r>
          </w:p>
        </w:tc>
      </w:tr>
      <w:tr>
        <w:trPr/>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Smart Anti-Spam (Not Hard Limits)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Content Retention</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185"/>
        <w:gridCol w:w="86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8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GXR App (“Home of Football”) is a comprehensive mobile platform that integrates social engagement, live football streaming, and real-money gaming (RMG). This document outlines the technical specifications for the development of the Social Module backend by a third-party development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GXR App consists of two primary backend systems: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both"/>
              <w:rPr/>
            </w:pPr>
            <w:r>
              <w:rPr/>
              <w:t> </w:t>
            </w:r>
          </w:p>
        </w:tc>
        <w:tc>
          <w:tcPr>
            <w:tcW w:w="1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Specter Backend</w:t>
            </w:r>
            <w:r>
              <w:rPr>
                <w:rFonts w:ascii="Times New Roman;Times;Serif" w:hAnsi="Times New Roman;Times;Serif"/>
                <w:b w:val="false"/>
                <w:i w:val="false"/>
                <w:caps w:val="false"/>
                <w:smallCaps w:val="false"/>
                <w:sz w:val="20"/>
              </w:rPr>
              <w:t>: Existing system that handles authentication, user management, gaming, loyalty/missions, and core platform functionality</w:t>
            </w:r>
          </w:p>
        </w:tc>
      </w:tr>
      <w:tr>
        <w:trPr/>
        <w:tc>
          <w:tcPr>
            <w:tcW w:w="75" w:type="dxa"/>
            <w:tcBorders/>
            <w:vAlign w:val="center"/>
          </w:tcPr>
          <w:p>
            <w:pPr>
              <w:pStyle w:val="TableContents"/>
              <w:bidi w:val="0"/>
              <w:spacing w:before="0" w:after="283"/>
              <w:jc w:val="both"/>
              <w:rPr/>
            </w:pPr>
            <w:r>
              <w:rPr/>
              <w:t> </w:t>
            </w:r>
          </w:p>
        </w:tc>
        <w:tc>
          <w:tcPr>
            <w:tcW w:w="1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Social Backend</w:t>
            </w:r>
            <w:r>
              <w:rPr>
                <w:rFonts w:ascii="Times New Roman;Times;Serif" w:hAnsi="Times New Roman;Times;Serif"/>
                <w:b w:val="false"/>
                <w:i w:val="false"/>
                <w:caps w:val="false"/>
                <w:smallCaps w:val="false"/>
                <w:sz w:val="20"/>
              </w:rPr>
              <w:t>: New system to be developed by the third party to handle social features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provides recommendations and guidelines for the Social Backend development and how it will integrate with both the GXR mobile application and the Specter Backend.</w:t>
      </w:r>
    </w:p>
    <w:p>
      <w:pPr>
        <w:pStyle w:val="TextBody"/>
        <w:bidi w:val="0"/>
        <w:spacing w:before="0" w:after="0"/>
        <w:ind w:left="0" w:right="0" w:hanging="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290"/>
        <w:gridCol w:w="197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9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System Architecture</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19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19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Architecture Overview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GXR App architecture consists of three main components that interact with each other:</w:t>
      </w:r>
    </w:p>
    <w:p>
      <w:pPr>
        <w:pStyle w:val="TextBody"/>
        <w:bidi w:val="0"/>
        <w:spacing w:before="0" w:after="0"/>
        <w:ind w:left="0" w:right="0" w:hanging="0"/>
        <w:jc w:val="both"/>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8"/>
        <w:gridCol w:w="170"/>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Mobile Client Application</w:t>
            </w:r>
            <w:r>
              <w:rPr>
                <w:rFonts w:ascii="Times New Roman;Times;Serif" w:hAnsi="Times New Roman;Times;Serif"/>
                <w:b w:val="false"/>
                <w:i w:val="false"/>
                <w:caps w:val="false"/>
                <w:smallCaps w:val="false"/>
                <w:sz w:val="20"/>
              </w:rPr>
              <w:t>: React Native-based mobile app that communicates directly with both backend systems</w:t>
            </w:r>
          </w:p>
        </w:tc>
      </w:tr>
    </w:tbl>
    <w:p>
      <w:pPr>
        <w:pStyle w:val="TextBody"/>
        <w:bidi w:val="0"/>
        <w:spacing w:before="0" w:after="0"/>
        <w:ind w:left="0" w:right="0" w:hanging="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170"/>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Communicates with Specter for authentication, gaming, and loyalty features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Communicates with Social Backend for all social features</w:t>
            </w:r>
          </w:p>
        </w:tc>
      </w:tr>
    </w:tbl>
    <w:p>
      <w:pPr>
        <w:pStyle w:val="TextBody"/>
        <w:bidi w:val="0"/>
        <w:spacing w:before="0" w:after="0"/>
        <w:jc w:val="center"/>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17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Specter Backend</w:t>
            </w:r>
            <w:r>
              <w:rPr>
                <w:rFonts w:ascii="Times New Roman;Times;Serif" w:hAnsi="Times New Roman;Times;Serif"/>
                <w:b w:val="false"/>
                <w:i w:val="false"/>
                <w:caps w:val="false"/>
                <w:smallCaps w:val="false"/>
                <w:sz w:val="20"/>
              </w:rPr>
              <w:t>: Existing backend system that handles:</w:t>
            </w:r>
          </w:p>
        </w:tc>
      </w:tr>
    </w:tbl>
    <w:p>
      <w:pPr>
        <w:pStyle w:val="TextBody"/>
        <w:bidi w:val="0"/>
        <w:spacing w:before="0" w:after="0"/>
        <w:ind w:left="0" w:right="0" w:hanging="0"/>
        <w:jc w:val="both"/>
        <w:rPr>
          <w:caps w:val="false"/>
          <w:smallCaps w:val="false"/>
        </w:rPr>
      </w:pPr>
      <w:r>
        <w:rPr>
          <w:caps w:val="false"/>
          <w:smallCaps w:val="false"/>
        </w:rPr>
        <w:t> </w:t>
      </w:r>
    </w:p>
    <w:tbl>
      <w:tblPr>
        <w:tblW w:w="3843" w:type="dxa"/>
        <w:jc w:val="left"/>
        <w:tblInd w:w="0" w:type="dxa"/>
        <w:tblLayout w:type="fixed"/>
        <w:tblCellMar>
          <w:top w:w="0" w:type="dxa"/>
          <w:left w:w="0" w:type="dxa"/>
          <w:bottom w:w="0" w:type="dxa"/>
          <w:right w:w="0" w:type="dxa"/>
        </w:tblCellMar>
      </w:tblPr>
      <w:tblGrid>
        <w:gridCol w:w="38"/>
        <w:gridCol w:w="17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authentication and profile management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Real-money gaming (RMG) features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Loyalty, missions, and achievements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Game state and wallet management</w:t>
            </w:r>
          </w:p>
        </w:tc>
      </w:tr>
    </w:tbl>
    <w:p>
      <w:pPr>
        <w:pStyle w:val="TextBody"/>
        <w:bidi w:val="0"/>
        <w:spacing w:before="0" w:after="0"/>
        <w:jc w:val="center"/>
        <w:rPr>
          <w:caps w:val="false"/>
          <w:smallCaps w:val="false"/>
        </w:rPr>
      </w:pPr>
      <w:r>
        <w:rPr>
          <w:caps w:val="false"/>
          <w:smallCaps w:val="false"/>
        </w:rPr>
        <w:t> </w:t>
      </w:r>
    </w:p>
    <w:tbl>
      <w:tblPr>
        <w:tblW w:w="6123" w:type="dxa"/>
        <w:jc w:val="left"/>
        <w:tblInd w:w="0" w:type="dxa"/>
        <w:tblLayout w:type="fixed"/>
        <w:tblCellMar>
          <w:top w:w="0" w:type="dxa"/>
          <w:left w:w="0" w:type="dxa"/>
          <w:bottom w:w="0" w:type="dxa"/>
          <w:right w:w="0" w:type="dxa"/>
        </w:tblCellMar>
      </w:tblPr>
      <w:tblGrid>
        <w:gridCol w:w="38"/>
        <w:gridCol w:w="17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Social Backend (to be developed)</w:t>
            </w:r>
            <w:r>
              <w:rPr>
                <w:rFonts w:ascii="Times New Roman;Times;Serif" w:hAnsi="Times New Roman;Times;Serif"/>
                <w:b w:val="false"/>
                <w:i w:val="false"/>
                <w:caps w:val="false"/>
                <w:smallCaps w:val="false"/>
                <w:sz w:val="20"/>
              </w:rPr>
              <w:t>: New backend system responsible for:</w:t>
            </w:r>
          </w:p>
        </w:tc>
      </w:tr>
    </w:tbl>
    <w:p>
      <w:pPr>
        <w:pStyle w:val="TextBody"/>
        <w:bidi w:val="0"/>
        <w:spacing w:before="0" w:after="0"/>
        <w:ind w:left="0" w:right="0" w:hanging="0"/>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17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feed and posts management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social profiles and relationships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 functionality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Hub/forum features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non-real-time messaging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Social-related notifications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290"/>
        <w:gridCol w:w="186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18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 Flow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communication flow between these components works as follows:</w:t>
      </w:r>
    </w:p>
    <w:p>
      <w:pPr>
        <w:pStyle w:val="TextBody"/>
        <w:bidi w:val="0"/>
        <w:spacing w:before="0" w:after="0"/>
        <w:ind w:left="0" w:right="0" w:hanging="0"/>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17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Mobile Client → Specter</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17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authentication and token retrieval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Gaming and RMG activities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Mission/loyalty-related actions</w:t>
            </w:r>
          </w:p>
        </w:tc>
      </w:tr>
    </w:tbl>
    <w:p>
      <w:pPr>
        <w:pStyle w:val="TextBody"/>
        <w:bidi w:val="0"/>
        <w:spacing w:before="0" w:after="0"/>
        <w:jc w:val="center"/>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Mobile Client → Social Backend</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social feature requests (feed, posts, comments, etc.)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mobile client sends the Specter authentication token with all requests</w:t>
            </w:r>
          </w:p>
        </w:tc>
      </w:tr>
    </w:tbl>
    <w:p>
      <w:pPr>
        <w:pStyle w:val="TextBody"/>
        <w:bidi w:val="0"/>
        <w:spacing w:before="0" w:after="0"/>
        <w:jc w:val="center"/>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170"/>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Social Backend → Specter</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8418" w:type="dxa"/>
        <w:jc w:val="left"/>
        <w:tblInd w:w="0" w:type="dxa"/>
        <w:tblLayout w:type="fixed"/>
        <w:tblCellMar>
          <w:top w:w="0" w:type="dxa"/>
          <w:left w:w="0" w:type="dxa"/>
          <w:bottom w:w="0" w:type="dxa"/>
          <w:right w:w="0" w:type="dxa"/>
        </w:tblCellMar>
      </w:tblPr>
      <w:tblGrid>
        <w:gridCol w:w="38"/>
        <w:gridCol w:w="170"/>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Token validation requests to verify user authentication using Specter’s existing validation endpoints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profile synchronization requests using Specter’s existing user profile endpoints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 database access between systems</w:t>
            </w:r>
          </w:p>
        </w:tc>
      </w:tr>
    </w:tbl>
    <w:p>
      <w:pPr>
        <w:pStyle w:val="TextBody"/>
        <w:bidi w:val="0"/>
        <w:spacing w:before="0" w:after="0"/>
        <w:ind w:left="0"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290"/>
        <w:gridCol w:w="174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Flow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authentication process follows these steps:</w:t>
      </w:r>
    </w:p>
    <w:p>
      <w:pPr>
        <w:pStyle w:val="TextBody"/>
        <w:bidi w:val="0"/>
        <w:spacing w:before="0" w:after="0"/>
        <w:ind w:left="0" w:right="0" w:hanging="0"/>
        <w:jc w:val="both"/>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170"/>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logs in via the Mobile Client using either email/password or phone/OTP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Specter authenticates the user and issues a JWT token to the Mobile Client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social features, the Mobile Client includes this token in requests to the Social Backend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Social Backend validates this token using Specter’s existing token validation API</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validation, the Social Backend processes the request and returns the response</w:t>
            </w:r>
          </w:p>
        </w:tc>
      </w:tr>
    </w:tbl>
    <w:p>
      <w:pPr>
        <w:pStyle w:val="TextBody"/>
        <w:bidi w:val="0"/>
        <w:spacing w:before="0" w:after="0"/>
        <w:ind w:left="0" w:right="0" w:hanging="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90"/>
        <w:gridCol w:w="168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16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System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notification system implementation will need to be discussed and finalized between the Specter team and the Social Backend team. Here are some key considerations:</w:t>
      </w:r>
    </w:p>
    <w:p>
      <w:pPr>
        <w:pStyle w:val="TextBody"/>
        <w:bidi w:val="0"/>
        <w:spacing w:before="0" w:after="0"/>
        <w:jc w:val="center"/>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38"/>
        <w:gridCol w:w="17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5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Single Firebase/OneSignal Configuration:</w:t>
            </w:r>
          </w:p>
        </w:tc>
      </w:tr>
    </w:tbl>
    <w:p>
      <w:pPr>
        <w:pStyle w:val="TextBody"/>
        <w:bidi w:val="0"/>
        <w:spacing w:before="0" w:after="0"/>
        <w:ind w:left="0" w:right="0" w:hanging="0"/>
        <w:jc w:val="both"/>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
        <w:gridCol w:w="17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teams will need to agree on how this configuration is shared and managed</w:t>
            </w:r>
          </w:p>
        </w:tc>
      </w:tr>
    </w:tbl>
    <w:p>
      <w:pPr>
        <w:pStyle w:val="TextBody"/>
        <w:bidi w:val="0"/>
        <w:spacing w:before="0" w:after="0"/>
        <w:jc w:val="center"/>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170"/>
        <w:gridCol w:w="2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4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Responsibilities:</w:t>
            </w:r>
          </w:p>
        </w:tc>
      </w:tr>
    </w:tbl>
    <w:p>
      <w:pPr>
        <w:pStyle w:val="TextBody"/>
        <w:bidi w:val="0"/>
        <w:spacing w:before="0" w:after="0"/>
        <w:ind w:left="0" w:right="0" w:hanging="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17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Backend will need to store and manage social notifications (likes, comments, etc.)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push notification delivery needs further discussion</w:t>
            </w:r>
          </w:p>
        </w:tc>
      </w:tr>
    </w:tbl>
    <w:p>
      <w:pPr>
        <w:pStyle w:val="TextBody"/>
        <w:bidi w:val="0"/>
        <w:spacing w:before="0" w:after="0"/>
        <w:jc w:val="center"/>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17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9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Open Discussion Point:</w:t>
            </w:r>
          </w:p>
        </w:tc>
      </w:tr>
    </w:tbl>
    <w:p>
      <w:pPr>
        <w:pStyle w:val="TextBody"/>
        <w:bidi w:val="0"/>
        <w:spacing w:before="0" w:after="0"/>
        <w:ind w:left="0" w:right="0" w:hanging="0"/>
        <w:jc w:val="both"/>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17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notification implementation strategy should be finalized during the planning phase</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38"/>
        <w:gridCol w:w="170"/>
        <w:gridCol w:w="9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teams should collaborate to determine the most effective notification architecture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goal is to provide a unified notification experience for users while maintaining clear separation of responsibilities</w:t>
            </w:r>
          </w:p>
        </w:tc>
      </w:tr>
    </w:tbl>
    <w:p>
      <w:pPr>
        <w:pStyle w:val="TextBody"/>
        <w:bidi w:val="0"/>
        <w:spacing w:before="0" w:after="0"/>
        <w:ind w:left="0" w:right="0" w:hanging="0"/>
        <w:jc w:val="both"/>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185"/>
        <w:gridCol w:w="167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6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Features &amp; Screens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existing app screens, the Social Backend should support the following key features:</w:t>
      </w:r>
    </w:p>
    <w:p>
      <w:pPr>
        <w:pStyle w:val="TextBody"/>
        <w:bidi w:val="0"/>
        <w:spacing w:before="0" w:after="0"/>
        <w:ind w:left="0" w:right="0" w:hanging="0"/>
        <w:jc w:val="both"/>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290"/>
        <w:gridCol w:w="101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10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Social Feed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for the main social feed screen with multiple feed types:</w:t>
      </w:r>
    </w:p>
    <w:p>
      <w:pPr>
        <w:pStyle w:val="TextBody"/>
        <w:bidi w:val="0"/>
        <w:spacing w:before="0" w:after="0"/>
        <w:ind w:left="0" w:right="0" w:hanging="0"/>
        <w:jc w:val="both"/>
        <w:rPr>
          <w:caps w:val="false"/>
          <w:smallCaps w:val="false"/>
        </w:rPr>
      </w:pPr>
      <w:r>
        <w:rPr>
          <w:caps w:val="false"/>
          <w:smallCaps w:val="false"/>
        </w:rPr>
        <w:t> </w:t>
      </w:r>
    </w:p>
    <w:tbl>
      <w:tblPr>
        <w:tblW w:w="3873" w:type="dxa"/>
        <w:jc w:val="left"/>
        <w:tblInd w:w="0" w:type="dxa"/>
        <w:tblLayout w:type="fixed"/>
        <w:tblCellMar>
          <w:top w:w="0" w:type="dxa"/>
          <w:left w:w="0" w:type="dxa"/>
          <w:bottom w:w="0" w:type="dxa"/>
          <w:right w:w="0" w:type="dxa"/>
        </w:tblCellMar>
      </w:tblPr>
      <w:tblGrid>
        <w:gridCol w:w="38"/>
        <w:gridCol w:w="17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6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You” (personalized) feed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6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Following” (accounts the user follows) feed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6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Trending” (popular content) feed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post types should be supported, including standard text posts, image posts, video posts, polls, and other content types as shown in the app screens.</w:t>
      </w:r>
    </w:p>
    <w:p>
      <w:pPr>
        <w:pStyle w:val="TextBody"/>
        <w:bidi w:val="0"/>
        <w:spacing w:before="0" w:after="0"/>
        <w:ind w:left="0" w:right="0" w:hanging="0"/>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290"/>
        <w:gridCol w:w="113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11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User Profiles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for user profile screens with:</w:t>
      </w:r>
    </w:p>
    <w:p>
      <w:pPr>
        <w:pStyle w:val="TextBody"/>
        <w:bidi w:val="0"/>
        <w:spacing w:before="0" w:after="0"/>
        <w:ind w:left="0" w:right="0" w:hanging="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17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stats (followers, following, posts)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post history display</w:t>
            </w:r>
          </w:p>
        </w:tc>
      </w:tr>
    </w:tbl>
    <w:p>
      <w:pPr>
        <w:pStyle w:val="TextBody"/>
        <w:bidi w:val="0"/>
        <w:spacing w:before="0" w:after="0"/>
        <w:ind w:left="0" w:right="0" w:hanging="0"/>
        <w:jc w:val="both"/>
        <w:rPr>
          <w:caps w:val="false"/>
          <w:smallCaps w:val="false"/>
        </w:rPr>
      </w:pPr>
      <w:r>
        <w:rPr>
          <w:caps w:val="false"/>
          <w:smallCaps w:val="false"/>
        </w:rPr>
        <w:t> </w:t>
      </w:r>
    </w:p>
    <w:tbl>
      <w:tblPr>
        <w:tblW w:w="910" w:type="dxa"/>
        <w:jc w:val="left"/>
        <w:tblInd w:w="0" w:type="dxa"/>
        <w:tblLayout w:type="fixed"/>
        <w:tblCellMar>
          <w:top w:w="0" w:type="dxa"/>
          <w:left w:w="0" w:type="dxa"/>
          <w:bottom w:w="0" w:type="dxa"/>
          <w:right w:w="0" w:type="dxa"/>
        </w:tblCellMar>
      </w:tblPr>
      <w:tblGrid>
        <w:gridCol w:w="290"/>
        <w:gridCol w:w="62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c>
          <w:tcPr>
            <w:tcW w:w="6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for ephemeral content (stories):</w:t>
      </w:r>
    </w:p>
    <w:p>
      <w:pPr>
        <w:pStyle w:val="TextBody"/>
        <w:bidi w:val="0"/>
        <w:spacing w:before="0" w:after="0"/>
        <w:ind w:left="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17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Story creation and retrieval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24-hour expiration logic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Story viewing tracking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 status indicators</w:t>
            </w:r>
          </w:p>
        </w:tc>
      </w:tr>
    </w:tbl>
    <w:p>
      <w:pPr>
        <w:pStyle w:val="TextBody"/>
        <w:bidi w:val="0"/>
        <w:spacing w:before="0" w:after="0"/>
        <w:ind w:left="0" w:right="0" w:hanging="0"/>
        <w:jc w:val="both"/>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290"/>
        <w:gridCol w:w="185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Hubs &amp; Communities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for forum-like communities:</w:t>
      </w:r>
    </w:p>
    <w:p>
      <w:pPr>
        <w:pStyle w:val="TextBody"/>
        <w:bidi w:val="0"/>
        <w:spacing w:before="0" w:after="0"/>
        <w:ind w:left="0" w:right="0" w:hanging="0"/>
        <w:jc w:val="both"/>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170"/>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Team/league/topic-based communities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Match-specific hubs for fan discussions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 and comment organization within hubs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management and moderation features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and private community options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290"/>
        <w:gridCol w:w="239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c>
          <w:tcPr>
            <w:tcW w:w="23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 Creation &amp; Interaction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for post creation and interaction:</w:t>
      </w:r>
    </w:p>
    <w:p>
      <w:pPr>
        <w:pStyle w:val="TextBody"/>
        <w:bidi w:val="0"/>
        <w:spacing w:before="0" w:after="0"/>
        <w:ind w:left="0" w:right="0" w:hanging="0"/>
        <w:jc w:val="both"/>
        <w:rPr>
          <w:caps w:val="false"/>
          <w:smallCaps w:val="false"/>
        </w:rPr>
      </w:pPr>
      <w:r>
        <w:rPr>
          <w:caps w:val="false"/>
          <w:smallCaps w:val="false"/>
        </w:rPr>
        <w:t> </w:t>
      </w:r>
    </w:p>
    <w:tbl>
      <w:tblPr>
        <w:tblW w:w="3393" w:type="dxa"/>
        <w:jc w:val="left"/>
        <w:tblInd w:w="0" w:type="dxa"/>
        <w:tblLayout w:type="fixed"/>
        <w:tblCellMar>
          <w:top w:w="0" w:type="dxa"/>
          <w:left w:w="0" w:type="dxa"/>
          <w:bottom w:w="0" w:type="dxa"/>
          <w:right w:w="0" w:type="dxa"/>
        </w:tblCellMar>
      </w:tblPr>
      <w:tblGrid>
        <w:gridCol w:w="38"/>
        <w:gridCol w:w="17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 posts with media (images, videos)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Polls (TBD)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Comments and replies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 and reaction functionality</w:t>
            </w:r>
          </w:p>
        </w:tc>
      </w:tr>
    </w:tbl>
    <w:p>
      <w:pPr>
        <w:pStyle w:val="TextBody"/>
        <w:bidi w:val="0"/>
        <w:spacing w:before="0" w:after="0"/>
        <w:ind w:left="0" w:right="0" w:hanging="0"/>
        <w:jc w:val="both"/>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290"/>
        <w:gridCol w:w="144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w:t>
            </w:r>
          </w:p>
        </w:tc>
        <w:tc>
          <w:tcPr>
            <w:tcW w:w="14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Messaging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for basic messaging features (non-real-time):</w:t>
      </w:r>
    </w:p>
    <w:p>
      <w:pPr>
        <w:pStyle w:val="TextBody"/>
        <w:bidi w:val="0"/>
        <w:spacing w:before="0" w:after="0"/>
        <w:ind w:left="0" w:right="0" w:hanging="0"/>
        <w:jc w:val="both"/>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170"/>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messages between users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Message history and retrieval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read status tracking</w:t>
            </w:r>
          </w:p>
        </w:tc>
      </w:tr>
    </w:tbl>
    <w:p>
      <w:pPr>
        <w:pStyle w:val="TextBody"/>
        <w:bidi w:val="0"/>
        <w:spacing w:before="0" w:after="0"/>
        <w:ind w:left="0" w:right="0" w:hanging="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185"/>
        <w:gridCol w:w="215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1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Suggested API Endpoints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suggested API endpoints that the third-party team may consider implementing for the Social Backend. These are recommendations and can be modified as needed during the development process.</w:t>
      </w:r>
    </w:p>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90"/>
        <w:gridCol w:w="228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c>
          <w:tcPr>
            <w:tcW w:w="22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Integration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Specter already provides the following endpoints for authentication that the Social Backend should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705100" cy="3009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6"/>
                    <a:stretch>
                      <a:fillRect/>
                    </a:stretch>
                  </pic:blipFill>
                  <pic:spPr bwMode="auto">
                    <a:xfrm>
                      <a:off x="0" y="0"/>
                      <a:ext cx="2705100" cy="3009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409825" cy="1257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7"/>
                    <a:stretch>
                      <a:fillRect/>
                    </a:stretch>
                  </pic:blipFill>
                  <pic:spPr bwMode="auto">
                    <a:xfrm>
                      <a:off x="0" y="0"/>
                      <a:ext cx="2409825" cy="12573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Social Backend should integrate with these existing endpoints for token validation and user profile retrieval.</w:t>
      </w:r>
    </w:p>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290"/>
        <w:gridCol w:w="279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c>
          <w:tcPr>
            <w:tcW w:w="27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Suggested Social Feed Endpoints</w:t>
            </w:r>
          </w:p>
        </w:tc>
      </w:tr>
    </w:tbl>
    <w:p>
      <w:pPr>
        <w:pStyle w:val="TextBody"/>
        <w:bidi w:val="0"/>
        <w:spacing w:before="0" w:after="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28" w:type="dxa"/>
          <w:right w:w="0" w:type="dxa"/>
        </w:tblCellMar>
      </w:tblPr>
      <w:tblGrid>
        <w:gridCol w:w="1340"/>
        <w:gridCol w:w="60"/>
        <w:gridCol w:w="665"/>
        <w:gridCol w:w="60"/>
        <w:gridCol w:w="3065"/>
      </w:tblGrid>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Endpoint</w:t>
            </w:r>
          </w:p>
        </w:tc>
        <w:tc>
          <w:tcPr>
            <w:tcW w:w="60" w:type="dxa"/>
            <w:tcBorders/>
            <w:tcMar>
              <w:bottom w:w="0" w:type="dxa"/>
            </w:tcMar>
            <w:vAlign w:val="center"/>
          </w:tcPr>
          <w:p>
            <w:pPr>
              <w:pStyle w:val="TableContents"/>
              <w:bidi w:val="0"/>
              <w:spacing w:before="0" w:after="283"/>
              <w:jc w:val="left"/>
              <w:rPr/>
            </w:pPr>
            <w:r>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w:t>
            </w:r>
          </w:p>
        </w:tc>
        <w:tc>
          <w:tcPr>
            <w:tcW w:w="60" w:type="dxa"/>
            <w:tcBorders/>
            <w:tcMar>
              <w:bottom w:w="0" w:type="dxa"/>
            </w:tcMar>
            <w:vAlign w:val="center"/>
          </w:tcPr>
          <w:p>
            <w:pPr>
              <w:pStyle w:val="TableContents"/>
              <w:bidi w:val="0"/>
              <w:spacing w:before="0" w:after="283"/>
              <w:jc w:val="left"/>
              <w:rPr/>
            </w:pPr>
            <w:r>
              <w:rPr/>
              <w:t> </w:t>
            </w:r>
          </w:p>
        </w:tc>
        <w:tc>
          <w:tcPr>
            <w:tcW w:w="30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tc>
      </w:tr>
      <w:tr>
        <w:trPr/>
        <w:tc>
          <w:tcPr>
            <w:tcW w:w="13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/feed</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Retrieve personalized feed</w:t>
            </w:r>
          </w:p>
        </w:tc>
      </w:tr>
      <w:tr>
        <w:trPr/>
        <w:tc>
          <w:tcPr>
            <w:tcW w:w="13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/feed/followi ng</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Retrieve feed from followed accounts</w:t>
            </w:r>
          </w:p>
        </w:tc>
      </w:tr>
      <w:tr>
        <w:trPr/>
        <w:tc>
          <w:tcPr>
            <w:tcW w:w="13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/feed/trendin g</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Retrieve trending content</w:t>
            </w:r>
          </w:p>
        </w:tc>
      </w:tr>
    </w:tbl>
    <w:p>
      <w:pPr>
        <w:pStyle w:val="TextBody"/>
        <w:bidi w:val="0"/>
        <w:spacing w:before="0" w:after="0"/>
        <w:jc w:val="center"/>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290"/>
        <w:gridCol w:w="317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w:t>
            </w:r>
          </w:p>
        </w:tc>
        <w:tc>
          <w:tcPr>
            <w:tcW w:w="3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Suggested Posts &amp; Content Endpoints</w:t>
            </w:r>
          </w:p>
        </w:tc>
      </w:tr>
    </w:tbl>
    <w:p>
      <w:pPr>
        <w:pStyle w:val="TextBody"/>
        <w:bidi w:val="0"/>
        <w:spacing w:before="0" w:after="0"/>
        <w:jc w:val="center"/>
        <w:rPr>
          <w:caps w:val="false"/>
          <w:smallCaps w:val="false"/>
        </w:rPr>
      </w:pPr>
      <w:r>
        <w:rPr>
          <w:caps w:val="false"/>
          <w:smallCaps w:val="false"/>
        </w:rPr>
        <w:t> </w:t>
      </w:r>
    </w:p>
    <w:tbl>
      <w:tblPr>
        <w:tblW w:w="4200" w:type="dxa"/>
        <w:jc w:val="left"/>
        <w:tblInd w:w="0" w:type="dxa"/>
        <w:tblLayout w:type="fixed"/>
        <w:tblCellMar>
          <w:top w:w="0" w:type="dxa"/>
          <w:left w:w="0" w:type="dxa"/>
          <w:bottom w:w="28" w:type="dxa"/>
          <w:right w:w="0" w:type="dxa"/>
        </w:tblCellMar>
      </w:tblPr>
      <w:tblGrid>
        <w:gridCol w:w="1430"/>
        <w:gridCol w:w="60"/>
        <w:gridCol w:w="755"/>
        <w:gridCol w:w="60"/>
        <w:gridCol w:w="1895"/>
      </w:tblGrid>
      <w:tr>
        <w:trPr/>
        <w:tc>
          <w:tcPr>
            <w:tcW w:w="14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Endpoint</w:t>
            </w:r>
          </w:p>
        </w:tc>
        <w:tc>
          <w:tcPr>
            <w:tcW w:w="60" w:type="dxa"/>
            <w:tcBorders/>
            <w:tcMar>
              <w:bottom w:w="0" w:type="dxa"/>
            </w:tcMar>
            <w:vAlign w:val="center"/>
          </w:tcPr>
          <w:p>
            <w:pPr>
              <w:pStyle w:val="TableContents"/>
              <w:bidi w:val="0"/>
              <w:spacing w:before="0" w:after="283"/>
              <w:jc w:val="center"/>
              <w:rPr/>
            </w:pPr>
            <w:r>
              <w:rPr/>
              <w:t> </w:t>
            </w:r>
          </w:p>
        </w:tc>
        <w:tc>
          <w:tcPr>
            <w:tcW w:w="7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new post</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posts with filtering</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/posts/:id</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single post details</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/posts/:id</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PUT</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 a post</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/posts/:id</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DELETE</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Delete a post</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/posts/:id/like</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 a post</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/posts/:id/unli ke</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a post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290"/>
        <w:gridCol w:w="272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w:t>
            </w:r>
          </w:p>
        </w:tc>
        <w:tc>
          <w:tcPr>
            <w:tcW w:w="27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Suggested Comments Endpoints</w:t>
            </w:r>
          </w:p>
        </w:tc>
      </w:tr>
    </w:tbl>
    <w:p>
      <w:pPr>
        <w:pStyle w:val="TextBody"/>
        <w:bidi w:val="0"/>
        <w:spacing w:before="0" w:after="0"/>
        <w:ind w:left="0" w:right="0" w:hanging="0"/>
        <w:jc w:val="left"/>
        <w:rPr>
          <w:caps w:val="false"/>
          <w:smallCaps w:val="false"/>
        </w:rPr>
      </w:pPr>
      <w:r>
        <w:rPr>
          <w:caps w:val="false"/>
          <w:smallCaps w:val="false"/>
        </w:rPr>
        <w:t> </w:t>
      </w:r>
    </w:p>
    <w:tbl>
      <w:tblPr>
        <w:tblW w:w="4380" w:type="dxa"/>
        <w:jc w:val="left"/>
        <w:tblInd w:w="0" w:type="dxa"/>
        <w:tblLayout w:type="fixed"/>
        <w:tblCellMar>
          <w:top w:w="0" w:type="dxa"/>
          <w:left w:w="0" w:type="dxa"/>
          <w:bottom w:w="28" w:type="dxa"/>
          <w:right w:w="0" w:type="dxa"/>
        </w:tblCellMar>
      </w:tblPr>
      <w:tblGrid>
        <w:gridCol w:w="1805"/>
        <w:gridCol w:w="60"/>
        <w:gridCol w:w="755"/>
        <w:gridCol w:w="60"/>
        <w:gridCol w:w="1700"/>
      </w:tblGrid>
      <w:tr>
        <w:trPr/>
        <w:tc>
          <w:tcPr>
            <w:tcW w:w="18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Endpoint</w:t>
            </w:r>
          </w:p>
        </w:tc>
        <w:tc>
          <w:tcPr>
            <w:tcW w:w="60" w:type="dxa"/>
            <w:tcBorders/>
            <w:tcMar>
              <w:bottom w:w="0" w:type="dxa"/>
            </w:tcMar>
            <w:vAlign w:val="center"/>
          </w:tcPr>
          <w:p>
            <w:pPr>
              <w:pStyle w:val="TableContents"/>
              <w:bidi w:val="0"/>
              <w:spacing w:before="0" w:after="283"/>
              <w:jc w:val="center"/>
              <w:rPr/>
            </w:pPr>
            <w:r>
              <w:rPr/>
              <w:t> </w:t>
            </w:r>
          </w:p>
        </w:tc>
        <w:tc>
          <w:tcPr>
            <w:tcW w:w="7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w:t>
            </w:r>
          </w:p>
        </w:tc>
        <w:tc>
          <w:tcPr>
            <w:tcW w:w="60" w:type="dxa"/>
            <w:tcBorders/>
            <w:tcMar>
              <w:bottom w:w="0" w:type="dxa"/>
            </w:tcMar>
            <w:vAlign w:val="center"/>
          </w:tcPr>
          <w:p>
            <w:pPr>
              <w:pStyle w:val="TableContents"/>
              <w:bidi w:val="0"/>
              <w:spacing w:before="0" w:after="283"/>
              <w:jc w:val="center"/>
              <w:rPr/>
            </w:pPr>
            <w:r>
              <w:rPr/>
              <w:t> </w:t>
            </w:r>
          </w:p>
        </w:tc>
        <w:tc>
          <w:tcPr>
            <w:tcW w:w="17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tc>
      </w:tr>
      <w:tr>
        <w:trPr/>
        <w:tc>
          <w:tcPr>
            <w:tcW w:w="18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/posts/:id/comments</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post comments</w:t>
            </w:r>
          </w:p>
        </w:tc>
      </w:tr>
      <w:tr>
        <w:trPr/>
        <w:tc>
          <w:tcPr>
            <w:tcW w:w="18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/posts/:id/comments</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a comment</w:t>
            </w:r>
          </w:p>
        </w:tc>
      </w:tr>
      <w:tr>
        <w:trPr/>
        <w:tc>
          <w:tcPr>
            <w:tcW w:w="18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/comments/:id</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comment details</w:t>
            </w:r>
          </w:p>
        </w:tc>
      </w:tr>
      <w:tr>
        <w:trPr/>
        <w:tc>
          <w:tcPr>
            <w:tcW w:w="18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/comments/:id</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PUT</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 a comment</w:t>
            </w:r>
          </w:p>
        </w:tc>
      </w:tr>
      <w:tr>
        <w:trPr/>
        <w:tc>
          <w:tcPr>
            <w:tcW w:w="18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/comments/:id</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DELETE</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Delete a comment</w:t>
            </w:r>
          </w:p>
        </w:tc>
      </w:tr>
      <w:tr>
        <w:trPr/>
        <w:tc>
          <w:tcPr>
            <w:tcW w:w="18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/comments/:id/replies</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comment replies</w:t>
            </w:r>
          </w:p>
        </w:tc>
      </w:tr>
      <w:tr>
        <w:trPr/>
        <w:tc>
          <w:tcPr>
            <w:tcW w:w="18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/comments/:id/replies</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a reply</w:t>
            </w:r>
          </w:p>
        </w:tc>
      </w:tr>
    </w:tbl>
    <w:p>
      <w:pPr>
        <w:pStyle w:val="TextBody"/>
        <w:bidi w:val="0"/>
        <w:spacing w:before="0" w:after="0"/>
        <w:jc w:val="center"/>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290"/>
        <w:gridCol w:w="240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w:t>
            </w:r>
          </w:p>
        </w:tc>
        <w:tc>
          <w:tcPr>
            <w:tcW w:w="2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Suggested Stories Endpoints</w:t>
            </w:r>
          </w:p>
        </w:tc>
      </w:tr>
    </w:tbl>
    <w:p>
      <w:pPr>
        <w:pStyle w:val="TextBody"/>
        <w:bidi w:val="0"/>
        <w:spacing w:before="0" w:after="0"/>
        <w:jc w:val="center"/>
        <w:rPr>
          <w:caps w:val="false"/>
          <w:smallCaps w:val="false"/>
        </w:rPr>
      </w:pPr>
      <w:r>
        <w:rPr>
          <w:caps w:val="false"/>
          <w:smallCaps w:val="false"/>
        </w:rPr>
        <w:t> </w:t>
      </w:r>
    </w:p>
    <w:tbl>
      <w:tblPr>
        <w:tblW w:w="3975" w:type="dxa"/>
        <w:jc w:val="left"/>
        <w:tblInd w:w="0" w:type="dxa"/>
        <w:tblLayout w:type="fixed"/>
        <w:tblCellMar>
          <w:top w:w="0" w:type="dxa"/>
          <w:left w:w="0" w:type="dxa"/>
          <w:bottom w:w="28" w:type="dxa"/>
          <w:right w:w="0" w:type="dxa"/>
        </w:tblCellMar>
      </w:tblPr>
      <w:tblGrid>
        <w:gridCol w:w="1430"/>
        <w:gridCol w:w="60"/>
        <w:gridCol w:w="665"/>
        <w:gridCol w:w="60"/>
        <w:gridCol w:w="1760"/>
      </w:tblGrid>
      <w:tr>
        <w:trPr/>
        <w:tc>
          <w:tcPr>
            <w:tcW w:w="14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Endpoint</w:t>
            </w:r>
          </w:p>
        </w:tc>
        <w:tc>
          <w:tcPr>
            <w:tcW w:w="60" w:type="dxa"/>
            <w:tcBorders/>
            <w:tcMar>
              <w:bottom w:w="0" w:type="dxa"/>
            </w:tcMar>
            <w:vAlign w:val="center"/>
          </w:tcPr>
          <w:p>
            <w:pPr>
              <w:pStyle w:val="TableContents"/>
              <w:bidi w:val="0"/>
              <w:spacing w:before="0" w:after="283"/>
              <w:jc w:val="center"/>
              <w:rPr/>
            </w:pPr>
            <w:r>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w:t>
            </w:r>
          </w:p>
        </w:tc>
        <w:tc>
          <w:tcPr>
            <w:tcW w:w="60" w:type="dxa"/>
            <w:tcBorders/>
            <w:tcMar>
              <w:bottom w:w="0" w:type="dxa"/>
            </w:tcMar>
            <w:vAlign w:val="center"/>
          </w:tcPr>
          <w:p>
            <w:pPr>
              <w:pStyle w:val="TableContents"/>
              <w:bidi w:val="0"/>
              <w:spacing w:before="0" w:after="283"/>
              <w:jc w:val="center"/>
              <w:rPr/>
            </w:pPr>
            <w:r>
              <w:rPr/>
              <w:t> </w:t>
            </w:r>
          </w:p>
        </w:tc>
        <w:tc>
          <w:tcPr>
            <w:tcW w:w="17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available stories</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a story</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/stories/:id</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story details</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/stories/:id/views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story viewers</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/stories/:id/views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story as viewed</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290"/>
        <w:gridCol w:w="221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w:t>
            </w:r>
          </w:p>
        </w:tc>
        <w:tc>
          <w:tcPr>
            <w:tcW w:w="22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Suggested User Endpoints</w:t>
            </w:r>
          </w:p>
        </w:tc>
      </w:tr>
    </w:tbl>
    <w:p>
      <w:pPr>
        <w:pStyle w:val="TextBody"/>
        <w:bidi w:val="0"/>
        <w:spacing w:before="0" w:after="0"/>
        <w:jc w:val="center"/>
        <w:rPr>
          <w:caps w:val="false"/>
          <w:smallCaps w:val="false"/>
        </w:rPr>
      </w:pPr>
      <w:r>
        <w:rPr>
          <w:caps w:val="false"/>
          <w:smallCaps w:val="false"/>
        </w:rPr>
        <w:t> </w:t>
      </w:r>
    </w:p>
    <w:tbl>
      <w:tblPr>
        <w:tblW w:w="4410" w:type="dxa"/>
        <w:jc w:val="left"/>
        <w:tblInd w:w="0" w:type="dxa"/>
        <w:tblLayout w:type="fixed"/>
        <w:tblCellMar>
          <w:top w:w="0" w:type="dxa"/>
          <w:left w:w="0" w:type="dxa"/>
          <w:bottom w:w="28" w:type="dxa"/>
          <w:right w:w="0" w:type="dxa"/>
        </w:tblCellMar>
      </w:tblPr>
      <w:tblGrid>
        <w:gridCol w:w="1580"/>
        <w:gridCol w:w="60"/>
        <w:gridCol w:w="665"/>
        <w:gridCol w:w="60"/>
        <w:gridCol w:w="2045"/>
      </w:tblGrid>
      <w:tr>
        <w:trPr/>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Endpoint</w:t>
            </w:r>
          </w:p>
        </w:tc>
        <w:tc>
          <w:tcPr>
            <w:tcW w:w="60" w:type="dxa"/>
            <w:tcBorders/>
            <w:tcMar>
              <w:bottom w:w="0" w:type="dxa"/>
            </w:tcMar>
            <w:vAlign w:val="center"/>
          </w:tcPr>
          <w:p>
            <w:pPr>
              <w:pStyle w:val="TableContents"/>
              <w:bidi w:val="0"/>
              <w:spacing w:before="0" w:after="283"/>
              <w:jc w:val="center"/>
              <w:rPr/>
            </w:pPr>
            <w:r>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w:t>
            </w:r>
          </w:p>
        </w:tc>
        <w:tc>
          <w:tcPr>
            <w:tcW w:w="60" w:type="dxa"/>
            <w:tcBorders/>
            <w:tcMar>
              <w:bottom w:w="0" w:type="dxa"/>
            </w:tcMar>
            <w:vAlign w:val="center"/>
          </w:tcPr>
          <w:p>
            <w:pPr>
              <w:pStyle w:val="TableContents"/>
              <w:bidi w:val="0"/>
              <w:spacing w:before="0" w:after="283"/>
              <w:jc w:val="center"/>
              <w:rPr/>
            </w:pPr>
            <w:r>
              <w:rPr/>
              <w:t> </w:t>
            </w:r>
          </w:p>
        </w:tc>
        <w:tc>
          <w:tcPr>
            <w:tcW w:w="20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/users/:id</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user profile</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/users/:id/posts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user posts</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/users/:id/follow</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 a user</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/users/:id/unfollow</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Unfollow a user</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/users/followers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user’s followers</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/users/following</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users being followed</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/users/search</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Search for users</w:t>
            </w:r>
          </w:p>
        </w:tc>
      </w:tr>
    </w:tbl>
    <w:p>
      <w:pPr>
        <w:pStyle w:val="TextBody"/>
        <w:bidi w:val="0"/>
        <w:spacing w:before="0" w:after="0"/>
        <w:jc w:val="center"/>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290"/>
        <w:gridCol w:w="22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w:t>
            </w:r>
          </w:p>
        </w:tc>
        <w:tc>
          <w:tcPr>
            <w:tcW w:w="22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Suggested Hubs Endpoints</w:t>
            </w:r>
          </w:p>
        </w:tc>
      </w:tr>
    </w:tbl>
    <w:p>
      <w:pPr>
        <w:pStyle w:val="TextBody"/>
        <w:bidi w:val="0"/>
        <w:spacing w:before="0" w:after="0"/>
        <w:jc w:val="center"/>
        <w:rPr>
          <w:caps w:val="false"/>
          <w:smallCaps w:val="false"/>
        </w:rPr>
      </w:pPr>
      <w:r>
        <w:rPr>
          <w:caps w:val="false"/>
          <w:smallCaps w:val="false"/>
        </w:rPr>
        <w:t> </w:t>
      </w:r>
    </w:p>
    <w:tbl>
      <w:tblPr>
        <w:tblW w:w="3900" w:type="dxa"/>
        <w:jc w:val="left"/>
        <w:tblInd w:w="0" w:type="dxa"/>
        <w:tblLayout w:type="fixed"/>
        <w:tblCellMar>
          <w:top w:w="0" w:type="dxa"/>
          <w:left w:w="0" w:type="dxa"/>
          <w:bottom w:w="28" w:type="dxa"/>
          <w:right w:w="0" w:type="dxa"/>
        </w:tblCellMar>
      </w:tblPr>
      <w:tblGrid>
        <w:gridCol w:w="1550"/>
        <w:gridCol w:w="60"/>
        <w:gridCol w:w="665"/>
        <w:gridCol w:w="60"/>
        <w:gridCol w:w="1565"/>
      </w:tblGrid>
      <w:tr>
        <w:trPr/>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Endpoint</w:t>
            </w:r>
          </w:p>
        </w:tc>
        <w:tc>
          <w:tcPr>
            <w:tcW w:w="60" w:type="dxa"/>
            <w:tcBorders/>
            <w:tcMar>
              <w:bottom w:w="0" w:type="dxa"/>
            </w:tcMar>
            <w:vAlign w:val="center"/>
          </w:tcPr>
          <w:p>
            <w:pPr>
              <w:pStyle w:val="TableContents"/>
              <w:bidi w:val="0"/>
              <w:spacing w:before="0" w:after="283"/>
              <w:jc w:val="center"/>
              <w:rPr/>
            </w:pPr>
            <w:r>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tc>
      </w:tr>
      <w:tr>
        <w:trPr/>
        <w:tc>
          <w:tcPr>
            <w:tcW w:w="15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list of hubs</w:t>
            </w:r>
          </w:p>
        </w:tc>
      </w:tr>
      <w:tr>
        <w:trPr/>
        <w:tc>
          <w:tcPr>
            <w:tcW w:w="15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a hub</w:t>
            </w:r>
          </w:p>
        </w:tc>
      </w:tr>
      <w:tr>
        <w:trPr/>
        <w:tc>
          <w:tcPr>
            <w:tcW w:w="15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/hubs/:id</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hub details</w:t>
            </w:r>
          </w:p>
        </w:tc>
      </w:tr>
      <w:tr>
        <w:trPr/>
        <w:tc>
          <w:tcPr>
            <w:tcW w:w="15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/hubs/:id</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PUT</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 hub details</w:t>
            </w:r>
          </w:p>
        </w:tc>
      </w:tr>
      <w:tr>
        <w:trPr/>
        <w:tc>
          <w:tcPr>
            <w:tcW w:w="15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/hubs/:id/join</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 a hub</w:t>
            </w:r>
          </w:p>
        </w:tc>
      </w:tr>
      <w:tr>
        <w:trPr/>
        <w:tc>
          <w:tcPr>
            <w:tcW w:w="15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/hubs/:id/leave</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Leave a hub</w:t>
            </w:r>
          </w:p>
        </w:tc>
      </w:tr>
      <w:tr>
        <w:trPr/>
        <w:tc>
          <w:tcPr>
            <w:tcW w:w="15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/hubs/:id/posts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hub posts</w:t>
            </w:r>
          </w:p>
        </w:tc>
      </w:tr>
      <w:tr>
        <w:trPr/>
        <w:tc>
          <w:tcPr>
            <w:tcW w:w="15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/hubs/:id/posts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post in hub</w:t>
            </w:r>
          </w:p>
        </w:tc>
      </w:tr>
      <w:tr>
        <w:trPr/>
        <w:tc>
          <w:tcPr>
            <w:tcW w:w="15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/hubs/:id/members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hub members</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290"/>
        <w:gridCol w:w="272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w:t>
            </w:r>
          </w:p>
        </w:tc>
        <w:tc>
          <w:tcPr>
            <w:tcW w:w="27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Suggested Messaging Endpoints</w:t>
            </w:r>
          </w:p>
        </w:tc>
      </w:tr>
    </w:tbl>
    <w:p>
      <w:pPr>
        <w:pStyle w:val="TextBody"/>
        <w:bidi w:val="0"/>
        <w:spacing w:before="0" w:after="0"/>
        <w:ind w:left="0" w:right="0" w:hanging="0"/>
        <w:jc w:val="left"/>
        <w:rPr>
          <w:caps w:val="false"/>
          <w:smallCaps w:val="false"/>
        </w:rPr>
      </w:pPr>
      <w:r>
        <w:rPr>
          <w:caps w:val="false"/>
          <w:smallCaps w:val="false"/>
        </w:rPr>
        <w:t> </w:t>
      </w:r>
    </w:p>
    <w:tbl>
      <w:tblPr>
        <w:tblW w:w="5025" w:type="dxa"/>
        <w:jc w:val="left"/>
        <w:tblInd w:w="0" w:type="dxa"/>
        <w:tblLayout w:type="fixed"/>
        <w:tblCellMar>
          <w:top w:w="0" w:type="dxa"/>
          <w:left w:w="0" w:type="dxa"/>
          <w:bottom w:w="28" w:type="dxa"/>
          <w:right w:w="0" w:type="dxa"/>
        </w:tblCellMar>
      </w:tblPr>
      <w:tblGrid>
        <w:gridCol w:w="1865"/>
        <w:gridCol w:w="60"/>
        <w:gridCol w:w="665"/>
        <w:gridCol w:w="60"/>
        <w:gridCol w:w="2375"/>
      </w:tblGrid>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Endpoint</w:t>
            </w:r>
          </w:p>
        </w:tc>
        <w:tc>
          <w:tcPr>
            <w:tcW w:w="60" w:type="dxa"/>
            <w:tcBorders/>
            <w:tcMar>
              <w:bottom w:w="0" w:type="dxa"/>
            </w:tcMar>
            <w:vAlign w:val="center"/>
          </w:tcPr>
          <w:p>
            <w:pPr>
              <w:pStyle w:val="TableContents"/>
              <w:bidi w:val="0"/>
              <w:spacing w:before="0" w:after="283"/>
              <w:jc w:val="left"/>
              <w:rPr/>
            </w:pPr>
            <w:r>
              <w:rPr/>
              <w:t> </w:t>
            </w:r>
          </w:p>
        </w:tc>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w:t>
            </w:r>
          </w:p>
        </w:tc>
        <w:tc>
          <w:tcPr>
            <w:tcW w:w="60" w:type="dxa"/>
            <w:tcBorders/>
            <w:tcMar>
              <w:bottom w:w="0" w:type="dxa"/>
            </w:tcMar>
            <w:vAlign w:val="center"/>
          </w:tcPr>
          <w:p>
            <w:pPr>
              <w:pStyle w:val="TableContents"/>
              <w:bidi w:val="0"/>
              <w:spacing w:before="0" w:after="283"/>
              <w:jc w:val="left"/>
              <w:rPr/>
            </w:pPr>
            <w:r>
              <w:rPr/>
              <w:t> </w:t>
            </w:r>
          </w:p>
        </w:tc>
        <w:tc>
          <w:tcPr>
            <w:tcW w:w="23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/messages</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all message threads</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/messages/:userId</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w:t>
            </w:r>
          </w:p>
        </w:tc>
        <w:tc>
          <w:tcPr>
            <w:tcW w:w="6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 message thread with user</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/messages/:userId</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 message to user</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/messages/:userId/read</w:t>
            </w:r>
          </w:p>
        </w:tc>
        <w:tc>
          <w:tcPr>
            <w:tcW w:w="6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messages as read</w:t>
            </w:r>
          </w:p>
        </w:tc>
      </w:tr>
    </w:tbl>
    <w:p>
      <w:pPr>
        <w:pStyle w:val="TextBody"/>
        <w:bidi w:val="0"/>
        <w:spacing w:before="0" w:after="0"/>
        <w:jc w:val="center"/>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185"/>
        <w:gridCol w:w="110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Models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suggested data models that the Social Backend might implement. These are provided as a reference and can be adapted based on implementation requirements.</w:t>
      </w:r>
    </w:p>
    <w:p>
      <w:pPr>
        <w:pStyle w:val="TextBody"/>
        <w:bidi w:val="0"/>
        <w:spacing w:before="0" w:after="0"/>
        <w:jc w:val="center"/>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290"/>
        <w:gridCol w:w="10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User Profile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3228975" cy="4457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8"/>
                    <a:stretch>
                      <a:fillRect/>
                    </a:stretch>
                  </pic:blipFill>
                  <pic:spPr bwMode="auto">
                    <a:xfrm>
                      <a:off x="0" y="0"/>
                      <a:ext cx="3228975" cy="44577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85" w:type="dxa"/>
        <w:jc w:val="left"/>
        <w:tblInd w:w="0" w:type="dxa"/>
        <w:tblLayout w:type="fixed"/>
        <w:tblCellMar>
          <w:top w:w="0" w:type="dxa"/>
          <w:left w:w="0" w:type="dxa"/>
          <w:bottom w:w="0" w:type="dxa"/>
          <w:right w:w="0" w:type="dxa"/>
        </w:tblCellMar>
      </w:tblPr>
      <w:tblGrid>
        <w:gridCol w:w="290"/>
        <w:gridCol w:w="39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3905250" cy="4543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59"/>
                    <a:stretch>
                      <a:fillRect/>
                    </a:stretch>
                  </pic:blipFill>
                  <pic:spPr bwMode="auto">
                    <a:xfrm>
                      <a:off x="0" y="0"/>
                      <a:ext cx="3905250" cy="45434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90750" cy="1143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60"/>
                    <a:stretch>
                      <a:fillRect/>
                    </a:stretch>
                  </pic:blipFill>
                  <pic:spPr bwMode="auto">
                    <a:xfrm>
                      <a:off x="0" y="0"/>
                      <a:ext cx="2190750" cy="1143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290"/>
        <w:gridCol w:w="86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c>
          <w:tcPr>
            <w:tcW w:w="8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14550" cy="34004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61"/>
                    <a:stretch>
                      <a:fillRect/>
                    </a:stretch>
                  </pic:blipFill>
                  <pic:spPr bwMode="auto">
                    <a:xfrm>
                      <a:off x="0" y="0"/>
                      <a:ext cx="2114550" cy="34004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90" w:type="dxa"/>
        <w:jc w:val="left"/>
        <w:tblInd w:w="0" w:type="dxa"/>
        <w:tblLayout w:type="fixed"/>
        <w:tblCellMar>
          <w:top w:w="0" w:type="dxa"/>
          <w:left w:w="0" w:type="dxa"/>
          <w:bottom w:w="0" w:type="dxa"/>
          <w:right w:w="0" w:type="dxa"/>
        </w:tblCellMar>
      </w:tblPr>
      <w:tblGrid>
        <w:gridCol w:w="290"/>
        <w:gridCol w:w="50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w:t>
            </w:r>
          </w:p>
        </w:tc>
        <w:tc>
          <w:tcPr>
            <w:tcW w:w="5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52650" cy="2476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62"/>
                    <a:stretch>
                      <a:fillRect/>
                    </a:stretch>
                  </pic:blipFill>
                  <pic:spPr bwMode="auto">
                    <a:xfrm>
                      <a:off x="0" y="0"/>
                      <a:ext cx="2152650" cy="24765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290"/>
        <w:gridCol w:w="146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w:t>
            </w:r>
          </w:p>
        </w:tc>
        <w:tc>
          <w:tcPr>
            <w:tcW w:w="14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Hub/Community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19300" cy="26003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63"/>
                    <a:stretch>
                      <a:fillRect/>
                    </a:stretch>
                  </pic:blipFill>
                  <pic:spPr bwMode="auto">
                    <a:xfrm>
                      <a:off x="0" y="0"/>
                      <a:ext cx="2019300" cy="2600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057525" cy="17335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64"/>
                    <a:stretch>
                      <a:fillRect/>
                    </a:stretch>
                  </pic:blipFill>
                  <pic:spPr bwMode="auto">
                    <a:xfrm>
                      <a:off x="0" y="0"/>
                      <a:ext cx="3057525" cy="1733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290"/>
        <w:gridCol w:w="7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w:t>
            </w:r>
          </w:p>
        </w:tc>
        <w:tc>
          <w:tcPr>
            <w:tcW w:w="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Message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28825" cy="23241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65"/>
                    <a:stretch>
                      <a:fillRect/>
                    </a:stretch>
                  </pic:blipFill>
                  <pic:spPr bwMode="auto">
                    <a:xfrm>
                      <a:off x="0" y="0"/>
                      <a:ext cx="2028825" cy="2324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290"/>
        <w:gridCol w:w="104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w:t>
            </w:r>
          </w:p>
        </w:tc>
        <w:tc>
          <w:tcPr>
            <w:tcW w:w="10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502025" cy="35687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66"/>
                    <a:stretch>
                      <a:fillRect/>
                    </a:stretch>
                  </pic:blipFill>
                  <pic:spPr bwMode="auto">
                    <a:xfrm>
                      <a:off x="0" y="0"/>
                      <a:ext cx="3502025" cy="35687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629025" cy="17049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67"/>
                    <a:stretch>
                      <a:fillRect/>
                    </a:stretch>
                  </pic:blipFill>
                  <pic:spPr bwMode="auto">
                    <a:xfrm>
                      <a:off x="0" y="0"/>
                      <a:ext cx="3629025" cy="17049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185"/>
        <w:gridCol w:w="34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34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&amp; Security Requirements</w:t>
            </w:r>
          </w:p>
        </w:tc>
      </w:tr>
    </w:tbl>
    <w:p>
      <w:pPr>
        <w:pStyle w:val="TextBody"/>
        <w:bidi w:val="0"/>
        <w:spacing w:before="0" w:after="0"/>
        <w:jc w:val="center"/>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290"/>
        <w:gridCol w:w="174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w:t>
            </w:r>
          </w:p>
        </w:tc>
        <w:tc>
          <w:tcPr>
            <w:tcW w:w="17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Flow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Social Backend should implement the following authentication process:</w:t>
      </w:r>
    </w:p>
    <w:p>
      <w:pPr>
        <w:pStyle w:val="TextBody"/>
        <w:bidi w:val="0"/>
        <w:spacing w:before="0" w:after="0"/>
        <w:ind w:left="0" w:right="0" w:hanging="0"/>
        <w:jc w:val="left"/>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170"/>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requests from the Mobile Client with Specter JWT token in Authorization header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Validate the token using Specter’s existing validation endpoint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Extract user identity from the token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Process the request based on the authenticated user’s permissions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appropriate responses with proper status codes</w:t>
            </w:r>
          </w:p>
        </w:tc>
      </w:tr>
    </w:tbl>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290"/>
        <w:gridCol w:w="19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w:t>
            </w:r>
          </w:p>
        </w:tc>
        <w:tc>
          <w:tcPr>
            <w:tcW w:w="19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Requirements</w:t>
            </w:r>
          </w:p>
        </w:tc>
      </w:tr>
    </w:tbl>
    <w:p>
      <w:pPr>
        <w:pStyle w:val="TextBody"/>
        <w:bidi w:val="0"/>
        <w:spacing w:before="0" w:after="0"/>
        <w:jc w:val="center"/>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17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API requests must be made over HTTPS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 API key management for Specter backend communication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Rate limiting for all endpoints to prevent abuse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 validation on all requests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moderation systems for user-generated content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 storage of user data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security audits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privacy compliance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185"/>
        <w:gridCol w:w="236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3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Requirements</w:t>
            </w:r>
          </w:p>
        </w:tc>
      </w:tr>
    </w:tbl>
    <w:p>
      <w:pPr>
        <w:pStyle w:val="TextBody"/>
        <w:bidi w:val="0"/>
        <w:spacing w:before="0" w:after="0"/>
        <w:jc w:val="center"/>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290"/>
        <w:gridCol w:w="152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15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API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Social Backend should meet the following performance criteria:</w:t>
      </w:r>
    </w:p>
    <w:p>
      <w:pPr>
        <w:pStyle w:val="TextBody"/>
        <w:bidi w:val="0"/>
        <w:spacing w:before="0" w:after="0"/>
        <w:ind w:left="0" w:right="0" w:hanging="0"/>
        <w:jc w:val="left"/>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17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Scalability:</w:t>
            </w:r>
          </w:p>
        </w:tc>
      </w:tr>
    </w:tbl>
    <w:p>
      <w:pPr>
        <w:pStyle w:val="TextBody"/>
        <w:bidi w:val="0"/>
        <w:spacing w:before="0" w:after="0"/>
        <w:ind w:left="0" w:right="0" w:hanging="0"/>
        <w:jc w:val="left"/>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17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for 100,000+ concurrent users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to handle traffic spikes during major matches</w:t>
            </w:r>
          </w:p>
        </w:tc>
      </w:tr>
    </w:tbl>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90"/>
        <w:gridCol w:w="14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w:t>
            </w:r>
          </w:p>
        </w:tc>
        <w:tc>
          <w:tcPr>
            <w:tcW w:w="14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Handling</w:t>
            </w:r>
          </w:p>
        </w:tc>
      </w:tr>
    </w:tbl>
    <w:p>
      <w:pPr>
        <w:pStyle w:val="TextBody"/>
        <w:bidi w:val="0"/>
        <w:spacing w:before="0" w:after="283"/>
        <w:jc w:val="left"/>
        <w:rPr/>
      </w:pPr>
      <w:r>
        <w:rPr/>
        <w:t> </w:t>
      </w:r>
    </w:p>
    <w:tbl>
      <w:tblPr>
        <w:tblW w:w="1968" w:type="dxa"/>
        <w:jc w:val="left"/>
        <w:tblInd w:w="0" w:type="dxa"/>
        <w:tblLayout w:type="fixed"/>
        <w:tblCellMar>
          <w:top w:w="0" w:type="dxa"/>
          <w:left w:w="0" w:type="dxa"/>
          <w:bottom w:w="0" w:type="dxa"/>
          <w:right w:w="0" w:type="dxa"/>
        </w:tblCellMar>
      </w:tblPr>
      <w:tblGrid>
        <w:gridCol w:w="38"/>
        <w:gridCol w:w="17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7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Image optimization:</w:t>
            </w:r>
          </w:p>
        </w:tc>
      </w:tr>
    </w:tbl>
    <w:p>
      <w:pPr>
        <w:pStyle w:val="TextBody"/>
        <w:bidi w:val="0"/>
        <w:spacing w:before="0" w:after="0"/>
        <w:ind w:left="0" w:right="0" w:hanging="0"/>
        <w:jc w:val="left"/>
        <w:rPr>
          <w:caps w:val="false"/>
          <w:smallCaps w:val="false"/>
        </w:rPr>
      </w:pPr>
      <w:r>
        <w:rPr>
          <w:caps w:val="false"/>
          <w:smallCaps w:val="false"/>
        </w:rPr>
        <w:t> </w:t>
      </w:r>
    </w:p>
    <w:tbl>
      <w:tblPr>
        <w:tblW w:w="3933" w:type="dxa"/>
        <w:jc w:val="left"/>
        <w:tblInd w:w="0" w:type="dxa"/>
        <w:tblLayout w:type="fixed"/>
        <w:tblCellMar>
          <w:top w:w="0" w:type="dxa"/>
          <w:left w:w="0" w:type="dxa"/>
          <w:bottom w:w="0" w:type="dxa"/>
          <w:right w:w="0" w:type="dxa"/>
        </w:tblCellMar>
      </w:tblPr>
      <w:tblGrid>
        <w:gridCol w:w="38"/>
        <w:gridCol w:w="170"/>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 resolutions for different device sizes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Progressive loading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Efficient format selection (WebP, JPEG, etc.)</w:t>
            </w:r>
          </w:p>
        </w:tc>
      </w:tr>
    </w:tbl>
    <w:p>
      <w:pPr>
        <w:pStyle w:val="TextBody"/>
        <w:bidi w:val="0"/>
        <w:spacing w:before="0" w:after="283"/>
        <w:jc w:val="left"/>
        <w:rPr/>
      </w:pPr>
      <w:r>
        <w:rPr/>
        <w:t> </w:t>
      </w:r>
    </w:p>
    <w:tbl>
      <w:tblPr>
        <w:tblW w:w="1923" w:type="dxa"/>
        <w:jc w:val="left"/>
        <w:tblInd w:w="0" w:type="dxa"/>
        <w:tblLayout w:type="fixed"/>
        <w:tblCellMar>
          <w:top w:w="0" w:type="dxa"/>
          <w:left w:w="0" w:type="dxa"/>
          <w:bottom w:w="0" w:type="dxa"/>
          <w:right w:w="0" w:type="dxa"/>
        </w:tblCellMar>
      </w:tblPr>
      <w:tblGrid>
        <w:gridCol w:w="38"/>
        <w:gridCol w:w="170"/>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7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Video optimization:</w:t>
            </w:r>
          </w:p>
        </w:tc>
      </w:tr>
    </w:tbl>
    <w:p>
      <w:pPr>
        <w:pStyle w:val="TextBody"/>
        <w:bidi w:val="0"/>
        <w:spacing w:before="0" w:after="0"/>
        <w:ind w:left="0" w:right="0" w:hanging="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17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Thumbnail generation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 quality levels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Efficient caching strategies</w:t>
            </w:r>
          </w:p>
        </w:tc>
      </w:tr>
    </w:tbl>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185"/>
        <w:gridCol w:w="18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8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Testing Requirements</w:t>
            </w:r>
          </w:p>
        </w:tc>
      </w:tr>
    </w:tbl>
    <w:p>
      <w:pPr>
        <w:pStyle w:val="TextBody"/>
        <w:bidi w:val="0"/>
        <w:spacing w:before="0" w:after="0"/>
        <w:jc w:val="center"/>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290"/>
        <w:gridCol w:w="15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w:t>
            </w:r>
          </w:p>
        </w:tc>
        <w:tc>
          <w:tcPr>
            <w:tcW w:w="15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Testing Approach</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Social Backend should be thoroughly tested using:</w:t>
      </w:r>
    </w:p>
    <w:p>
      <w:pPr>
        <w:pStyle w:val="TextBody"/>
        <w:bidi w:val="0"/>
        <w:spacing w:before="0" w:after="0"/>
        <w:jc w:val="center"/>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 testing</w:t>
            </w:r>
            <w:r>
              <w:rPr>
                <w:rFonts w:ascii="Times New Roman;Times;Serif" w:hAnsi="Times New Roman;Times;Serif"/>
                <w:b w:val="false"/>
                <w:i w:val="false"/>
                <w:caps w:val="false"/>
                <w:smallCaps w:val="false"/>
                <w:sz w:val="20"/>
              </w:rPr>
              <w:t>: For core business logic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Integration testing</w:t>
            </w:r>
            <w:r>
              <w:rPr>
                <w:rFonts w:ascii="Times New Roman;Times;Serif" w:hAnsi="Times New Roman;Times;Serif"/>
                <w:b w:val="false"/>
                <w:i w:val="false"/>
                <w:caps w:val="false"/>
                <w:smallCaps w:val="false"/>
                <w:sz w:val="20"/>
              </w:rPr>
              <w:t>: For API endpoints and Specter integration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Performance testing</w:t>
            </w:r>
            <w:r>
              <w:rPr>
                <w:rFonts w:ascii="Times New Roman;Times;Serif" w:hAnsi="Times New Roman;Times;Serif"/>
                <w:b w:val="false"/>
                <w:i w:val="false"/>
                <w:caps w:val="false"/>
                <w:smallCaps w:val="false"/>
                <w:sz w:val="20"/>
              </w:rPr>
              <w:t>: To validate performance requirements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Security testing</w:t>
            </w:r>
            <w:r>
              <w:rPr>
                <w:rFonts w:ascii="Times New Roman;Times;Serif" w:hAnsi="Times New Roman;Times;Serif"/>
                <w:b w:val="false"/>
                <w:i w:val="false"/>
                <w:caps w:val="false"/>
                <w:smallCaps w:val="false"/>
                <w:sz w:val="20"/>
              </w:rPr>
              <w:t>: To identify vulnerabilities</w:t>
            </w:r>
          </w:p>
        </w:tc>
      </w:tr>
    </w:tbl>
    <w:p>
      <w:pPr>
        <w:pStyle w:val="TextBody"/>
        <w:bidi w:val="0"/>
        <w:spacing w:before="0" w:after="0"/>
        <w:ind w:left="0" w:right="0" w:hanging="0"/>
        <w:jc w:val="left"/>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185"/>
        <w:gridCol w:w="110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1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third-party development team is expected to deliver:</w:t>
      </w:r>
    </w:p>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290"/>
        <w:gridCol w:w="19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w:t>
            </w:r>
          </w:p>
        </w:tc>
        <w:tc>
          <w:tcPr>
            <w:tcW w:w="19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Backend Development</w:t>
            </w:r>
          </w:p>
        </w:tc>
      </w:tr>
    </w:tbl>
    <w:p>
      <w:pPr>
        <w:pStyle w:val="TextBody"/>
        <w:bidi w:val="0"/>
        <w:jc w:val="center"/>
        <w:rPr/>
      </w:pPr>
      <w:r>
        <w:rPr/>
        <w:t> </w:t>
      </w:r>
    </w:p>
    <w:tbl>
      <w:tblPr>
        <w:tblW w:w="6273" w:type="dxa"/>
        <w:jc w:val="left"/>
        <w:tblInd w:w="0" w:type="dxa"/>
        <w:tblLayout w:type="fixed"/>
        <w:tblCellMar>
          <w:top w:w="0" w:type="dxa"/>
          <w:left w:w="0" w:type="dxa"/>
          <w:bottom w:w="0" w:type="dxa"/>
          <w:right w:w="0" w:type="dxa"/>
        </w:tblCellMar>
      </w:tblPr>
      <w:tblGrid>
        <w:gridCol w:w="38"/>
        <w:gridCol w:w="17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Social Backend implementation with all required API endpoints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Database schema and data models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Integration with Specter APIs for authentication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system implementation as agreed upon in planning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handling and optimization</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90"/>
        <w:gridCol w:w="13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w:t>
            </w:r>
          </w:p>
        </w:tc>
        <w:tc>
          <w:tcPr>
            <w:tcW w:w="13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Documentation</w:t>
            </w:r>
          </w:p>
        </w:tc>
      </w:tr>
    </w:tbl>
    <w:p>
      <w:pPr>
        <w:pStyle w:val="TextBody"/>
        <w:bidi w:val="0"/>
        <w:spacing w:before="0" w:after="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API documentation for all endpoints (OpenAPI/Swagger/Postman)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Integration guide for the Mobile Client team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Deployment and operation instructions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Database schema documentation</w:t>
            </w:r>
          </w:p>
        </w:tc>
      </w:tr>
    </w:tbl>
    <w:p>
      <w:pPr>
        <w:pStyle w:val="TextBody"/>
        <w:bidi w:val="0"/>
        <w:spacing w:before="0" w:after="0"/>
        <w:ind w:left="0" w:right="0" w:hanging="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90"/>
        <w:gridCol w:w="141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w:t>
            </w:r>
          </w:p>
        </w:tc>
        <w:tc>
          <w:tcPr>
            <w:tcW w:w="14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DevOps Support</w:t>
            </w:r>
          </w:p>
        </w:tc>
      </w:tr>
    </w:tbl>
    <w:p>
      <w:pPr>
        <w:pStyle w:val="TextBody"/>
        <w:bidi w:val="0"/>
        <w:spacing w:before="0" w:after="0"/>
        <w:jc w:val="both"/>
        <w:rPr>
          <w:caps w:val="false"/>
          <w:smallCaps w:val="false"/>
        </w:rPr>
      </w:pPr>
      <w:r>
        <w:rPr>
          <w:caps w:val="false"/>
          <w:smallCaps w:val="false"/>
        </w:rPr>
        <w:t> </w:t>
      </w:r>
    </w:p>
    <w:tbl>
      <w:tblPr>
        <w:tblW w:w="3438" w:type="dxa"/>
        <w:jc w:val="left"/>
        <w:tblInd w:w="0" w:type="dxa"/>
        <w:tblLayout w:type="fixed"/>
        <w:tblCellMar>
          <w:top w:w="0" w:type="dxa"/>
          <w:left w:w="0" w:type="dxa"/>
          <w:bottom w:w="0" w:type="dxa"/>
          <w:right w:w="0" w:type="dxa"/>
        </w:tblCellMar>
      </w:tblPr>
      <w:tblGrid>
        <w:gridCol w:w="38"/>
        <w:gridCol w:w="17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Deployment scripts and configuration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setup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and disaster recovery processes</w:t>
            </w:r>
          </w:p>
        </w:tc>
      </w:tr>
    </w:tbl>
    <w:p>
      <w:pPr>
        <w:pStyle w:val="TextBody"/>
        <w:bidi w:val="0"/>
        <w:spacing w:before="0" w:after="0"/>
        <w:ind w:left="0" w:right="0" w:hanging="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440"/>
        <w:gridCol w:w="3740"/>
      </w:tblGrid>
      <w:tr>
        <w:trPr/>
        <w:tc>
          <w:tcPr>
            <w:tcW w:w="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9.4.1</w:t>
            </w:r>
          </w:p>
        </w:tc>
        <w:tc>
          <w:tcPr>
            <w:tcW w:w="37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Infrastructure Provisioning &amp; Management</w:t>
            </w:r>
          </w:p>
        </w:tc>
      </w:tr>
    </w:tbl>
    <w:p>
      <w:pPr>
        <w:pStyle w:val="TextBody"/>
        <w:bidi w:val="0"/>
        <w:spacing w:before="0" w:after="0"/>
        <w:jc w:val="both"/>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38"/>
        <w:gridCol w:w="17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Designing and deploying the complete cloud infrastructure required for the Social Backend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appropriate cloud services and infrastructure components based on performance requirements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Provisioning and configuring all production, staging, and development environments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Infrastructure-as-code implementation for reproducible deployments</w:t>
            </w:r>
          </w:p>
        </w:tc>
      </w:tr>
    </w:tbl>
    <w:p>
      <w:pPr>
        <w:pStyle w:val="TextBody"/>
        <w:bidi w:val="0"/>
        <w:spacing w:before="0" w:after="0"/>
        <w:ind w:left="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440"/>
        <w:gridCol w:w="2225"/>
      </w:tblGrid>
      <w:tr>
        <w:trPr/>
        <w:tc>
          <w:tcPr>
            <w:tcW w:w="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9.4.2</w:t>
            </w:r>
          </w:p>
        </w:tc>
        <w:tc>
          <w:tcPr>
            <w:tcW w:w="22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Management</w:t>
            </w:r>
          </w:p>
        </w:tc>
      </w:tr>
    </w:tbl>
    <w:p>
      <w:pPr>
        <w:pStyle w:val="TextBody"/>
        <w:bidi w:val="0"/>
        <w:spacing w:before="0" w:after="0"/>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17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and operational support of the production environment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optimization and scaling of resources as needed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patch management and regular system updates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Implementation of logging and alerting systems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Incident response and resolution</w:t>
            </w:r>
          </w:p>
        </w:tc>
      </w:tr>
    </w:tbl>
    <w:p>
      <w:pPr>
        <w:pStyle w:val="TextBody"/>
        <w:bidi w:val="0"/>
        <w:spacing w:before="0" w:after="0"/>
        <w:ind w:left="0" w:right="0" w:hanging="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440"/>
        <w:gridCol w:w="2060"/>
      </w:tblGrid>
      <w:tr>
        <w:trPr/>
        <w:tc>
          <w:tcPr>
            <w:tcW w:w="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9.4.3</w:t>
            </w:r>
          </w:p>
        </w:tc>
        <w:tc>
          <w:tcPr>
            <w:tcW w:w="20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Maintenance &amp; Updates</w:t>
            </w:r>
          </w:p>
        </w:tc>
      </w:tr>
    </w:tbl>
    <w:p>
      <w:pPr>
        <w:pStyle w:val="TextBody"/>
        <w:bidi w:val="0"/>
        <w:jc w:val="both"/>
        <w:rPr/>
      </w:pPr>
      <w:r>
        <w:rPr/>
        <w:t> </w:t>
      </w:r>
    </w:p>
    <w:tbl>
      <w:tblPr>
        <w:tblW w:w="5778" w:type="dxa"/>
        <w:jc w:val="left"/>
        <w:tblInd w:w="0" w:type="dxa"/>
        <w:tblLayout w:type="fixed"/>
        <w:tblCellMar>
          <w:top w:w="0" w:type="dxa"/>
          <w:left w:w="0" w:type="dxa"/>
          <w:bottom w:w="0" w:type="dxa"/>
          <w:right w:w="0" w:type="dxa"/>
        </w:tblCellMar>
      </w:tblPr>
      <w:tblGrid>
        <w:gridCol w:w="38"/>
        <w:gridCol w:w="17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maintenance windows and planned downtime management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Database maintenance including backups, optimization, and scaling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upgrades and security patches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Coordinating deployment schedules with the Specter team</w:t>
            </w:r>
          </w:p>
        </w:tc>
      </w:tr>
    </w:tbl>
    <w:p>
      <w:pPr>
        <w:pStyle w:val="TextBody"/>
        <w:bidi w:val="0"/>
        <w:spacing w:before="0" w:after="0"/>
        <w:ind w:left="0" w:right="0" w:hanging="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440"/>
        <w:gridCol w:w="1610"/>
      </w:tblGrid>
      <w:tr>
        <w:trPr/>
        <w:tc>
          <w:tcPr>
            <w:tcW w:w="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9.4.4</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Capacity Planning</w:t>
            </w:r>
          </w:p>
        </w:tc>
      </w:tr>
    </w:tbl>
    <w:p>
      <w:pPr>
        <w:pStyle w:val="TextBody"/>
        <w:bidi w:val="0"/>
        <w:jc w:val="both"/>
        <w:rPr/>
      </w:pPr>
      <w:r>
        <w:rPr/>
        <w:t> </w:t>
      </w:r>
    </w:p>
    <w:tbl>
      <w:tblPr>
        <w:tblW w:w="5718" w:type="dxa"/>
        <w:jc w:val="left"/>
        <w:tblInd w:w="0" w:type="dxa"/>
        <w:tblLayout w:type="fixed"/>
        <w:tblCellMar>
          <w:top w:w="0" w:type="dxa"/>
          <w:left w:w="0" w:type="dxa"/>
          <w:bottom w:w="0" w:type="dxa"/>
          <w:right w:w="0" w:type="dxa"/>
        </w:tblCellMar>
      </w:tblPr>
      <w:tblGrid>
        <w:gridCol w:w="38"/>
        <w:gridCol w:w="17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resource utilization and planning for capacity increases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auto-scaling solutions where appropriate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regular capacity planning reports and recommendations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290"/>
        <w:gridCol w:w="84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8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w:t>
            </w:r>
          </w:p>
        </w:tc>
      </w:tr>
    </w:tbl>
    <w:p>
      <w:pPr>
        <w:pStyle w:val="TextBody"/>
        <w:bidi w:val="0"/>
        <w:spacing w:before="0" w:after="0"/>
        <w:ind w:left="0" w:right="0" w:hanging="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395"/>
        <w:gridCol w:w="80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w:t>
            </w:r>
          </w:p>
        </w:tc>
        <w:tc>
          <w:tcPr>
            <w:tcW w:w="8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Glossary</w:t>
            </w:r>
          </w:p>
        </w:tc>
      </w:tr>
    </w:tbl>
    <w:p>
      <w:pPr>
        <w:pStyle w:val="TextBody"/>
        <w:bidi w:val="0"/>
        <w:spacing w:before="0" w:after="0"/>
        <w:jc w:val="center"/>
        <w:rPr>
          <w:caps w:val="false"/>
          <w:smallCaps w:val="false"/>
        </w:rPr>
      </w:pPr>
      <w:r>
        <w:rPr>
          <w:caps w:val="false"/>
          <w:smallCaps w:val="false"/>
        </w:rPr>
        <w:t> </w:t>
      </w:r>
    </w:p>
    <w:tbl>
      <w:tblPr>
        <w:tblW w:w="8268" w:type="dxa"/>
        <w:jc w:val="left"/>
        <w:tblInd w:w="0" w:type="dxa"/>
        <w:tblLayout w:type="fixed"/>
        <w:tblCellMar>
          <w:top w:w="0" w:type="dxa"/>
          <w:left w:w="0" w:type="dxa"/>
          <w:bottom w:w="0" w:type="dxa"/>
          <w:right w:w="0" w:type="dxa"/>
        </w:tblCellMar>
      </w:tblPr>
      <w:tblGrid>
        <w:gridCol w:w="38"/>
        <w:gridCol w:w="170"/>
        <w:gridCol w:w="8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GXR</w:t>
            </w:r>
            <w:r>
              <w:rPr>
                <w:rFonts w:ascii="Times New Roman;Times;Serif" w:hAnsi="Times New Roman;Times;Serif"/>
                <w:b w:val="false"/>
                <w:i w:val="false"/>
                <w:caps w:val="false"/>
                <w:smallCaps w:val="false"/>
                <w:sz w:val="20"/>
              </w:rPr>
              <w:t>: The parent app platform (“Home of Football”)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Specter</w:t>
            </w:r>
            <w:r>
              <w:rPr>
                <w:rFonts w:ascii="Times New Roman;Times;Serif" w:hAnsi="Times New Roman;Times;Serif"/>
                <w:b w:val="false"/>
                <w:i w:val="false"/>
                <w:caps w:val="false"/>
                <w:smallCaps w:val="false"/>
                <w:sz w:val="20"/>
              </w:rPr>
              <w:t>: The core backend service handling authentication, user management, and gaming features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Social Backend</w:t>
            </w:r>
            <w:r>
              <w:rPr>
                <w:rFonts w:ascii="Times New Roman;Times;Serif" w:hAnsi="Times New Roman;Times;Serif"/>
                <w:b w:val="false"/>
                <w:i w:val="false"/>
                <w:caps w:val="false"/>
                <w:smallCaps w:val="false"/>
                <w:sz w:val="20"/>
              </w:rPr>
              <w:t>: The backend system to be developed for social features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Hub</w:t>
            </w:r>
            <w:r>
              <w:rPr>
                <w:rFonts w:ascii="Times New Roman;Times;Serif" w:hAnsi="Times New Roman;Times;Serif"/>
                <w:b w:val="false"/>
                <w:i w:val="false"/>
                <w:caps w:val="false"/>
                <w:smallCaps w:val="false"/>
                <w:sz w:val="20"/>
              </w:rPr>
              <w:t>: Topic or interest-based community within the Social Module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Story</w:t>
            </w:r>
            <w:r>
              <w:rPr>
                <w:rFonts w:ascii="Times New Roman;Times;Serif" w:hAnsi="Times New Roman;Times;Serif"/>
                <w:b w:val="false"/>
                <w:i w:val="false"/>
                <w:caps w:val="false"/>
                <w:smallCaps w:val="false"/>
                <w:sz w:val="20"/>
              </w:rPr>
              <w:t>: Ephemeral content that disappears after 24 hours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RMG</w:t>
            </w:r>
            <w:r>
              <w:rPr>
                <w:rFonts w:ascii="Times New Roman;Times;Serif" w:hAnsi="Times New Roman;Times;Serif"/>
                <w:b w:val="false"/>
                <w:i w:val="false"/>
                <w:caps w:val="false"/>
                <w:smallCaps w:val="false"/>
                <w:sz w:val="20"/>
              </w:rPr>
              <w:t>: Real Money Gaming features within the platform</w:t>
            </w:r>
          </w:p>
        </w:tc>
      </w:tr>
    </w:tbl>
    <w:p>
      <w:pPr>
        <w:pStyle w:val="TextBody"/>
        <w:bidi w:val="0"/>
        <w:spacing w:before="0" w:after="0"/>
        <w:ind w:left="0" w:right="0" w:hanging="0"/>
        <w:jc w:val="left"/>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395"/>
        <w:gridCol w:w="174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w:t>
            </w:r>
          </w:p>
        </w:tc>
        <w:tc>
          <w:tcPr>
            <w:tcW w:w="17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 Materials</w:t>
            </w:r>
          </w:p>
        </w:tc>
      </w:tr>
    </w:tbl>
    <w:p>
      <w:pPr>
        <w:pStyle w:val="TextBody"/>
        <w:bidi w:val="0"/>
        <w:spacing w:before="0" w:after="0"/>
        <w:ind w:left="0" w:right="0" w:hanging="360"/>
        <w:jc w:val="right"/>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17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Figma prototype links:</w:t>
            </w:r>
          </w:p>
        </w:tc>
      </w:tr>
    </w:tbl>
    <w:p>
      <w:pPr>
        <w:pStyle w:val="TextBody"/>
        <w:bidi w:val="0"/>
        <w:spacing w:before="0" w:after="283"/>
        <w:jc w:val="left"/>
        <w:rPr/>
      </w:pPr>
      <w:r>
        <w:rPr/>
        <w:t> </w:t>
      </w:r>
    </w:p>
    <w:tbl>
      <w:tblPr>
        <w:tblW w:w="1443" w:type="dxa"/>
        <w:jc w:val="left"/>
        <w:tblInd w:w="0" w:type="dxa"/>
        <w:tblLayout w:type="fixed"/>
        <w:tblCellMar>
          <w:top w:w="0" w:type="dxa"/>
          <w:left w:w="0" w:type="dxa"/>
          <w:bottom w:w="0" w:type="dxa"/>
          <w:right w:w="0" w:type="dxa"/>
        </w:tblCellMar>
      </w:tblPr>
      <w:tblGrid>
        <w:gridCol w:w="38"/>
        <w:gridCol w:w="170"/>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Prototype:</w:t>
            </w:r>
          </w:p>
        </w:tc>
      </w:tr>
    </w:tbl>
    <w:p>
      <w:pPr>
        <w:pStyle w:val="TextBody"/>
        <w:bidi w:val="0"/>
        <w:spacing w:before="0" w:after="283"/>
        <w:jc w:val="left"/>
        <w:rPr/>
      </w:pPr>
      <w:r>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https://www.figma.com/proto/gCYHVmFdr6CqUcyqbQd9vD/GXR-Prototype?pag e-id=1%3A2865&amp;node-id=1%3A2872&amp;scaling=min-zoom&amp;content-scaling=fixed &amp;starting-point-node-id=1%3A2872</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jc w:val="left"/>
              <w:rPr>
                <w:rFonts w:ascii="TimesNew Roman;Times;Serif" w:hAnsi="TimesNew Roman;Times;Serif"/>
                <w:b w:val="false"/>
                <w:i w:val="false"/>
                <w:caps w:val="false"/>
                <w:smallCaps w:val="false"/>
                <w:sz w:val="20"/>
              </w:rPr>
            </w:pPr>
            <w:r>
              <w:rPr>
                <w:rFonts w:ascii="TimesNew Roman;Times;Serif" w:hAnsi="TimesNew Roman;Times;Serif"/>
                <w:b w:val="false"/>
                <w:i w:val="false"/>
                <w:caps w:val="false"/>
                <w:smallCaps w:val="false"/>
                <w:sz w:val="20"/>
              </w:rPr>
              <w:t>New Social Features Prototype:</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https://www.figma.com/proto/gCYHVmFdr6CqUcyqbQd9vD/GXR-Prototype?pag e-id=253%3A2&amp;node-id=271%3A476&amp;scaling=min-zoom&amp;content-scaling=fixed &amp;starting-point-node-id=271%3A476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Figma Screens for all pages: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https://www.figma.com/proto/gCYHVmFdr6CqUcyqbQd9vD/GXR-Prototype?pag e-id=0%3A1&amp;node-id=0%3A1&amp;scaling=min-zoom&amp;content-scaling=fixed</w:t>
            </w:r>
          </w:p>
        </w:tc>
      </w:tr>
    </w:tbl>
    <w:p>
      <w:pPr>
        <w:pStyle w:val="TextBody"/>
        <w:bidi w:val="0"/>
        <w:spacing w:before="0" w:after="0"/>
        <w:jc w:val="center"/>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17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 Go app access instructions provided separately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Specter Console Link: </w:t>
            </w:r>
            <w:r>
              <w:rPr>
                <w:rFonts w:ascii="Times New Roman;Times;Serif" w:hAnsi="Times New Roman;Times;Serif"/>
                <w:b w:val="false"/>
                <w:i w:val="false"/>
                <w:caps w:val="false"/>
                <w:smallCaps w:val="false"/>
                <w:sz w:val="20"/>
                <w:u w:val="single"/>
              </w:rPr>
              <w:t>https://console.specterapp.xyz/</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Specter API Docs Link: </w:t>
            </w:r>
            <w:r>
              <w:rPr>
                <w:rFonts w:ascii="Times New Roman;Times;Serif" w:hAnsi="Times New Roman;Times;Serif"/>
                <w:b w:val="false"/>
                <w:i w:val="false"/>
                <w:caps w:val="false"/>
                <w:smallCaps w:val="false"/>
                <w:sz w:val="20"/>
                <w:u w:val="single"/>
              </w:rPr>
              <w:t>https://doc.specterapp.xyz/</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Specter Sandbox Link: </w:t>
            </w:r>
            <w:r>
              <w:rPr>
                <w:rFonts w:ascii="Times New Roman;Times;Serif" w:hAnsi="Times New Roman;Times;Serif"/>
                <w:b w:val="false"/>
                <w:i w:val="false"/>
                <w:caps w:val="false"/>
                <w:smallCaps w:val="false"/>
                <w:sz w:val="20"/>
                <w:u w:val="single"/>
              </w:rPr>
              <w:t>https://sandbox.specterapp.xyz/</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Specter Server Architecture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525000" cy="88011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68"/>
                    <a:stretch>
                      <a:fillRect/>
                    </a:stretch>
                  </pic:blipFill>
                  <pic:spPr bwMode="auto">
                    <a:xfrm>
                      <a:off x="0" y="0"/>
                      <a:ext cx="9525000" cy="880110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GXR App - Social Module Product Requirements</w:t>
      </w:r>
    </w:p>
    <w:p>
      <w:pPr>
        <w:pStyle w:val="TextBody"/>
        <w:bidi w:val="0"/>
        <w:spacing w:before="0" w:after="0"/>
        <w:jc w:val="left"/>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185"/>
        <w:gridCol w:w="110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1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tc>
      </w:tr>
    </w:tbl>
    <w:p>
      <w:pPr>
        <w:pStyle w:val="TextBody"/>
        <w:bidi w:val="0"/>
        <w:spacing w:before="0" w:after="0"/>
        <w:ind w:left="1816"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outlines the product requirements for the Social Module of the GXR App. It complements the technical specifications by focusing on user flows, screen functionality, and feature requirements from a product perspective.</w:t>
      </w:r>
    </w:p>
    <w:p>
      <w:pPr>
        <w:pStyle w:val="TextBody"/>
        <w:bidi w:val="0"/>
        <w:spacing w:before="0" w:after="0"/>
        <w:jc w:val="left"/>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185"/>
        <w:gridCol w:w="12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2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User Personas</w:t>
            </w:r>
          </w:p>
        </w:tc>
      </w:tr>
    </w:tbl>
    <w:p>
      <w:pPr>
        <w:pStyle w:val="TextBody"/>
        <w:bidi w:val="0"/>
        <w:spacing w:before="0" w:after="0"/>
        <w:ind w:left="1816" w:right="0" w:hanging="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290"/>
        <w:gridCol w:w="20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2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User Personas</w:t>
            </w:r>
          </w:p>
        </w:tc>
      </w:tr>
    </w:tbl>
    <w:p>
      <w:pPr>
        <w:pStyle w:val="TextBody"/>
        <w:bidi w:val="0"/>
        <w:spacing w:before="0" w:after="0"/>
        <w:ind w:left="1870" w:right="0" w:hanging="0"/>
        <w:jc w:val="both"/>
        <w:rPr>
          <w:caps w:val="false"/>
          <w:smallCaps w:val="false"/>
        </w:rPr>
      </w:pPr>
      <w:r>
        <w:rPr>
          <w:caps w:val="false"/>
          <w:smallCaps w:val="false"/>
        </w:rPr>
        <w:t> </w:t>
      </w:r>
    </w:p>
    <w:tbl>
      <w:tblPr>
        <w:tblW w:w="1908" w:type="dxa"/>
        <w:jc w:val="left"/>
        <w:tblInd w:w="0" w:type="dxa"/>
        <w:tblLayout w:type="fixed"/>
        <w:tblCellMar>
          <w:top w:w="0" w:type="dxa"/>
          <w:left w:w="0" w:type="dxa"/>
          <w:bottom w:w="0" w:type="dxa"/>
          <w:right w:w="0" w:type="dxa"/>
        </w:tblCellMar>
      </w:tblPr>
      <w:tblGrid>
        <w:gridCol w:w="38"/>
        <w:gridCol w:w="170"/>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7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Social Football Fan</w:t>
            </w:r>
          </w:p>
        </w:tc>
      </w:tr>
    </w:tbl>
    <w:p>
      <w:pPr>
        <w:pStyle w:val="TextBody"/>
        <w:bidi w:val="0"/>
        <w:spacing w:before="0" w:after="0"/>
        <w:ind w:left="2158" w:right="0" w:hanging="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Primarily interested in connecting with other fans</w:t>
            </w:r>
          </w:p>
        </w:tc>
      </w:tr>
    </w:tbl>
    <w:tbl>
      <w:tblPr>
        <w:tblW w:w="4638" w:type="dxa"/>
        <w:jc w:val="left"/>
        <w:tblInd w:w="0" w:type="dxa"/>
        <w:tblLayout w:type="fixed"/>
        <w:tblCellMar>
          <w:top w:w="0" w:type="dxa"/>
          <w:left w:w="0" w:type="dxa"/>
          <w:bottom w:w="0" w:type="dxa"/>
          <w:right w:w="0" w:type="dxa"/>
        </w:tblCellMar>
      </w:tblPr>
      <w:tblGrid>
        <w:gridCol w:w="38"/>
        <w:gridCol w:w="17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Enjoys sharing opinions and reactions during matches</w:t>
            </w:r>
          </w:p>
        </w:tc>
      </w:tr>
    </w:tbl>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Follows favorite players and teams</w:t>
            </w:r>
          </w:p>
        </w:tc>
      </w:tr>
    </w:tbl>
    <w:p>
      <w:pPr>
        <w:pStyle w:val="TextBody"/>
        <w:bidi w:val="0"/>
        <w:spacing w:before="0" w:after="0"/>
        <w:ind w:left="2879" w:right="0" w:hanging="0"/>
        <w:jc w:val="both"/>
        <w:rPr>
          <w:caps w:val="false"/>
          <w:smallCaps w:val="false"/>
        </w:rPr>
      </w:pPr>
      <w:r>
        <w:rPr>
          <w:caps w:val="false"/>
          <w:smallCaps w:val="false"/>
        </w:rPr>
        <w:t> </w:t>
      </w:r>
    </w:p>
    <w:tbl>
      <w:tblPr>
        <w:tblW w:w="1818" w:type="dxa"/>
        <w:jc w:val="left"/>
        <w:tblInd w:w="0" w:type="dxa"/>
        <w:tblLayout w:type="fixed"/>
        <w:tblCellMar>
          <w:top w:w="0" w:type="dxa"/>
          <w:left w:w="0" w:type="dxa"/>
          <w:bottom w:w="0" w:type="dxa"/>
          <w:right w:w="0" w:type="dxa"/>
        </w:tblCellMar>
      </w:tblPr>
      <w:tblGrid>
        <w:gridCol w:w="38"/>
        <w:gridCol w:w="17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Consumer</w:t>
            </w:r>
          </w:p>
        </w:tc>
      </w:tr>
    </w:tbl>
    <w:p>
      <w:pPr>
        <w:pStyle w:val="TextBody"/>
        <w:bidi w:val="0"/>
        <w:spacing w:before="0" w:after="0"/>
        <w:ind w:left="2158" w:right="0" w:hanging="0"/>
        <w:jc w:val="both"/>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38"/>
        <w:gridCol w:w="17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Primarily looks for football news, highlights, and updates</w:t>
            </w:r>
          </w:p>
        </w:tc>
      </w:tr>
    </w:tbl>
    <w:tbl>
      <w:tblPr>
        <w:tblW w:w="3528" w:type="dxa"/>
        <w:jc w:val="left"/>
        <w:tblInd w:w="0" w:type="dxa"/>
        <w:tblLayout w:type="fixed"/>
        <w:tblCellMar>
          <w:top w:w="0" w:type="dxa"/>
          <w:left w:w="0" w:type="dxa"/>
          <w:bottom w:w="0" w:type="dxa"/>
          <w:right w:w="0" w:type="dxa"/>
        </w:tblCellMar>
      </w:tblPr>
      <w:tblGrid>
        <w:gridCol w:w="38"/>
        <w:gridCol w:w="17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Reads discussions more than contributes</w:t>
            </w:r>
          </w:p>
        </w:tc>
      </w:tr>
    </w:tbl>
    <w:tbl>
      <w:tblPr>
        <w:tblW w:w="4398" w:type="dxa"/>
        <w:jc w:val="left"/>
        <w:tblInd w:w="0" w:type="dxa"/>
        <w:tblLayout w:type="fixed"/>
        <w:tblCellMar>
          <w:top w:w="0" w:type="dxa"/>
          <w:left w:w="0" w:type="dxa"/>
          <w:bottom w:w="0" w:type="dxa"/>
          <w:right w:w="0" w:type="dxa"/>
        </w:tblCellMar>
      </w:tblPr>
      <w:tblGrid>
        <w:gridCol w:w="38"/>
        <w:gridCol w:w="170"/>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Uses the app to stay informed about football events</w:t>
            </w:r>
          </w:p>
        </w:tc>
      </w:tr>
    </w:tbl>
    <w:p>
      <w:pPr>
        <w:pStyle w:val="TextBody"/>
        <w:bidi w:val="0"/>
        <w:spacing w:before="0" w:after="0"/>
        <w:ind w:left="2879" w:right="0" w:hanging="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7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4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Engaged Gamer</w:t>
            </w:r>
          </w:p>
        </w:tc>
      </w:tr>
    </w:tbl>
    <w:p>
      <w:pPr>
        <w:pStyle w:val="TextBody"/>
        <w:bidi w:val="0"/>
        <w:spacing w:before="0" w:after="0"/>
        <w:ind w:left="2158" w:right="0" w:hanging="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17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Actively participates in RMG features</w:t>
            </w:r>
          </w:p>
        </w:tc>
      </w:tr>
    </w:tbl>
    <w:tbl>
      <w:tblPr>
        <w:tblW w:w="2643" w:type="dxa"/>
        <w:jc w:val="left"/>
        <w:tblInd w:w="0" w:type="dxa"/>
        <w:tblLayout w:type="fixed"/>
        <w:tblCellMar>
          <w:top w:w="0" w:type="dxa"/>
          <w:left w:w="0" w:type="dxa"/>
          <w:bottom w:w="0" w:type="dxa"/>
          <w:right w:w="0" w:type="dxa"/>
        </w:tblCellMar>
      </w:tblPr>
      <w:tblGrid>
        <w:gridCol w:w="38"/>
        <w:gridCol w:w="170"/>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predictions and results</w:t>
            </w:r>
          </w:p>
        </w:tc>
      </w:tr>
    </w:tbl>
    <w:tbl>
      <w:tblPr>
        <w:tblW w:w="3423" w:type="dxa"/>
        <w:jc w:val="left"/>
        <w:tblInd w:w="0" w:type="dxa"/>
        <w:tblLayout w:type="fixed"/>
        <w:tblCellMar>
          <w:top w:w="0" w:type="dxa"/>
          <w:left w:w="0" w:type="dxa"/>
          <w:bottom w:w="0" w:type="dxa"/>
          <w:right w:w="0" w:type="dxa"/>
        </w:tblCellMar>
      </w:tblPr>
      <w:tblGrid>
        <w:gridCol w:w="38"/>
        <w:gridCol w:w="170"/>
        <w:gridCol w:w="3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and achievement-oriented</w:t>
            </w:r>
          </w:p>
        </w:tc>
      </w:tr>
    </w:tbl>
    <w:p>
      <w:pPr>
        <w:pStyle w:val="TextBody"/>
        <w:bidi w:val="0"/>
        <w:spacing w:before="0" w:after="0"/>
        <w:ind w:left="2879" w:right="0" w:hanging="0"/>
        <w:jc w:val="both"/>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185"/>
        <w:gridCol w:w="164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6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User Journeys</w:t>
            </w:r>
          </w:p>
        </w:tc>
      </w:tr>
    </w:tbl>
    <w:p>
      <w:pPr>
        <w:pStyle w:val="TextBody"/>
        <w:bidi w:val="0"/>
        <w:spacing w:before="0" w:after="0"/>
        <w:ind w:left="1816" w:right="0" w:hanging="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90"/>
        <w:gridCol w:w="25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25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First-Time Social Experience</w:t>
            </w:r>
          </w:p>
        </w:tc>
      </w:tr>
    </w:tbl>
    <w:p>
      <w:pPr>
        <w:pStyle w:val="TextBody"/>
        <w:bidi w:val="0"/>
        <w:spacing w:before="0" w:after="0"/>
        <w:ind w:left="1870" w:right="0" w:hanging="0"/>
        <w:jc w:val="both"/>
        <w:rPr>
          <w:caps w:val="false"/>
          <w:smallCaps w:val="false"/>
        </w:rPr>
      </w:pPr>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38"/>
        <w:gridCol w:w="17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completes initial app onboarding</w:t>
            </w:r>
          </w:p>
        </w:tc>
      </w:tr>
    </w:tbl>
    <w:tbl>
      <w:tblPr>
        <w:tblW w:w="5238" w:type="dxa"/>
        <w:jc w:val="left"/>
        <w:tblInd w:w="0" w:type="dxa"/>
        <w:tblLayout w:type="fixed"/>
        <w:tblCellMar>
          <w:top w:w="0" w:type="dxa"/>
          <w:left w:w="0" w:type="dxa"/>
          <w:bottom w:w="0" w:type="dxa"/>
          <w:right w:w="0" w:type="dxa"/>
        </w:tblCellMar>
      </w:tblPr>
      <w:tblGrid>
        <w:gridCol w:w="38"/>
        <w:gridCol w:w="17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is prompted to select favorite teams, players, and leagues</w:t>
            </w:r>
          </w:p>
        </w:tc>
      </w:tr>
    </w:tbl>
    <w:tbl>
      <w:tblPr>
        <w:tblW w:w="4893" w:type="dxa"/>
        <w:jc w:val="left"/>
        <w:tblInd w:w="0" w:type="dxa"/>
        <w:tblLayout w:type="fixed"/>
        <w:tblCellMar>
          <w:top w:w="0" w:type="dxa"/>
          <w:left w:w="0" w:type="dxa"/>
          <w:bottom w:w="0" w:type="dxa"/>
          <w:right w:w="0" w:type="dxa"/>
        </w:tblCellMar>
      </w:tblPr>
      <w:tblGrid>
        <w:gridCol w:w="38"/>
        <w:gridCol w:w="17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social feed is populated based on these preferences</w:t>
            </w:r>
          </w:p>
        </w:tc>
      </w:tr>
    </w:tbl>
    <w:tbl>
      <w:tblPr>
        <w:tblW w:w="5988" w:type="dxa"/>
        <w:jc w:val="left"/>
        <w:tblInd w:w="0" w:type="dxa"/>
        <w:tblLayout w:type="fixed"/>
        <w:tblCellMar>
          <w:top w:w="0" w:type="dxa"/>
          <w:left w:w="0" w:type="dxa"/>
          <w:bottom w:w="0" w:type="dxa"/>
          <w:right w:w="0" w:type="dxa"/>
        </w:tblCellMar>
      </w:tblPr>
      <w:tblGrid>
        <w:gridCol w:w="38"/>
        <w:gridCol w:w="17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is guided to follow recommended accounts and join relevant hubs</w:t>
            </w:r>
          </w:p>
        </w:tc>
      </w:tr>
    </w:tbl>
    <w:tbl>
      <w:tblPr>
        <w:tblW w:w="4818" w:type="dxa"/>
        <w:jc w:val="left"/>
        <w:tblInd w:w="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4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receives a notification about their first achievement</w:t>
            </w:r>
          </w:p>
        </w:tc>
      </w:tr>
    </w:tbl>
    <w:p>
      <w:pPr>
        <w:pStyle w:val="TextBody"/>
        <w:bidi w:val="0"/>
        <w:spacing w:before="0" w:after="0"/>
        <w:ind w:left="2158" w:right="0" w:hanging="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290"/>
        <w:gridCol w:w="207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20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Daily Engagement Flow</w:t>
            </w:r>
          </w:p>
        </w:tc>
      </w:tr>
    </w:tbl>
    <w:p>
      <w:pPr>
        <w:pStyle w:val="TextBody"/>
        <w:bidi w:val="0"/>
        <w:spacing w:before="0" w:after="0"/>
        <w:ind w:left="1870" w:right="0" w:hanging="0"/>
        <w:jc w:val="both"/>
        <w:rPr>
          <w:caps w:val="false"/>
          <w:smallCaps w:val="false"/>
        </w:rPr>
      </w:pPr>
      <w:r>
        <w:rPr>
          <w:caps w:val="false"/>
          <w:smallCaps w:val="false"/>
        </w:rPr>
        <w:t> </w:t>
      </w:r>
    </w:p>
    <w:tbl>
      <w:tblPr>
        <w:tblW w:w="3843" w:type="dxa"/>
        <w:jc w:val="left"/>
        <w:tblInd w:w="0" w:type="dxa"/>
        <w:tblLayout w:type="fixed"/>
        <w:tblCellMar>
          <w:top w:w="0" w:type="dxa"/>
          <w:left w:w="0" w:type="dxa"/>
          <w:bottom w:w="0" w:type="dxa"/>
          <w:right w:w="0" w:type="dxa"/>
        </w:tblCellMar>
      </w:tblPr>
      <w:tblGrid>
        <w:gridCol w:w="38"/>
        <w:gridCol w:w="17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opens app and lands on the Social Feed</w:t>
            </w:r>
          </w:p>
        </w:tc>
      </w:tr>
    </w:tbl>
    <w:tbl>
      <w:tblPr>
        <w:tblW w:w="4848" w:type="dxa"/>
        <w:jc w:val="left"/>
        <w:tblInd w:w="0" w:type="dxa"/>
        <w:tblLayout w:type="fixed"/>
        <w:tblCellMar>
          <w:top w:w="0" w:type="dxa"/>
          <w:left w:w="0" w:type="dxa"/>
          <w:bottom w:w="0" w:type="dxa"/>
          <w:right w:w="0" w:type="dxa"/>
        </w:tblCellMar>
      </w:tblPr>
      <w:tblGrid>
        <w:gridCol w:w="38"/>
        <w:gridCol w:w="17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scrolls through feed, viewing a mix of content types</w:t>
            </w:r>
          </w:p>
        </w:tc>
      </w:tr>
    </w:tbl>
    <w:tbl>
      <w:tblPr>
        <w:tblW w:w="3678" w:type="dxa"/>
        <w:jc w:val="left"/>
        <w:tblInd w:w="0" w:type="dxa"/>
        <w:tblLayout w:type="fixed"/>
        <w:tblCellMar>
          <w:top w:w="0" w:type="dxa"/>
          <w:left w:w="0" w:type="dxa"/>
          <w:bottom w:w="0" w:type="dxa"/>
          <w:right w:w="0" w:type="dxa"/>
        </w:tblCellMar>
      </w:tblPr>
      <w:tblGrid>
        <w:gridCol w:w="38"/>
        <w:gridCol w:w="17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interacts with posts (likes, comments)</w:t>
            </w:r>
          </w:p>
        </w:tc>
      </w:tr>
    </w:tbl>
    <w:tbl>
      <w:tblPr>
        <w:tblW w:w="3423" w:type="dxa"/>
        <w:jc w:val="left"/>
        <w:tblInd w:w="0" w:type="dxa"/>
        <w:tblLayout w:type="fixed"/>
        <w:tblCellMar>
          <w:top w:w="0" w:type="dxa"/>
          <w:left w:w="0" w:type="dxa"/>
          <w:bottom w:w="0" w:type="dxa"/>
          <w:right w:w="0" w:type="dxa"/>
        </w:tblCellMar>
      </w:tblPr>
      <w:tblGrid>
        <w:gridCol w:w="38"/>
        <w:gridCol w:w="170"/>
        <w:gridCol w:w="3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checks and views available stories</w:t>
            </w:r>
          </w:p>
        </w:tc>
      </w:tr>
    </w:tbl>
    <w:tbl>
      <w:tblPr>
        <w:tblW w:w="5658" w:type="dxa"/>
        <w:jc w:val="left"/>
        <w:tblInd w:w="0" w:type="dxa"/>
        <w:tblLayout w:type="fixed"/>
        <w:tblCellMar>
          <w:top w:w="0" w:type="dxa"/>
          <w:left w:w="0" w:type="dxa"/>
          <w:bottom w:w="0" w:type="dxa"/>
          <w:right w:w="0" w:type="dxa"/>
        </w:tblCellMar>
      </w:tblPr>
      <w:tblGrid>
        <w:gridCol w:w="38"/>
        <w:gridCol w:w="17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5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navigates to Live Matches or other sections based on interests</w:t>
            </w:r>
          </w:p>
        </w:tc>
      </w:tr>
    </w:tbl>
    <w:p>
      <w:pPr>
        <w:pStyle w:val="TextBody"/>
        <w:bidi w:val="0"/>
        <w:spacing w:before="0" w:after="0"/>
        <w:ind w:left="2158"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158" w:right="0" w:hanging="36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290"/>
        <w:gridCol w:w="197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c>
          <w:tcPr>
            <w:tcW w:w="19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Match Day Experience</w:t>
            </w:r>
          </w:p>
        </w:tc>
      </w:tr>
    </w:tbl>
    <w:p>
      <w:pPr>
        <w:pStyle w:val="TextBody"/>
        <w:bidi w:val="0"/>
        <w:spacing w:before="0" w:after="0"/>
        <w:ind w:left="1870" w:right="0" w:hanging="0"/>
        <w:jc w:val="both"/>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17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receives notification about upcoming match</w:t>
            </w:r>
          </w:p>
        </w:tc>
      </w:tr>
    </w:tbl>
    <w:tbl>
      <w:tblPr>
        <w:tblW w:w="4308" w:type="dxa"/>
        <w:jc w:val="left"/>
        <w:tblInd w:w="0" w:type="dxa"/>
        <w:tblLayout w:type="fixed"/>
        <w:tblCellMar>
          <w:top w:w="0" w:type="dxa"/>
          <w:left w:w="0" w:type="dxa"/>
          <w:bottom w:w="0" w:type="dxa"/>
          <w:right w:w="0" w:type="dxa"/>
        </w:tblCellMar>
      </w:tblPr>
      <w:tblGrid>
        <w:gridCol w:w="38"/>
        <w:gridCol w:w="17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accesses match-specific hub before the match</w:t>
            </w:r>
          </w:p>
        </w:tc>
      </w:tr>
    </w:tbl>
    <w:tbl>
      <w:tblPr>
        <w:tblW w:w="5013" w:type="dxa"/>
        <w:jc w:val="left"/>
        <w:tblInd w:w="0" w:type="dxa"/>
        <w:tblLayout w:type="fixed"/>
        <w:tblCellMar>
          <w:top w:w="0" w:type="dxa"/>
          <w:left w:w="0" w:type="dxa"/>
          <w:bottom w:w="0" w:type="dxa"/>
          <w:right w:w="0" w:type="dxa"/>
        </w:tblCellMar>
      </w:tblPr>
      <w:tblGrid>
        <w:gridCol w:w="38"/>
        <w:gridCol w:w="170"/>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match, user engages with live discussion in the hub</w:t>
            </w:r>
          </w:p>
        </w:tc>
      </w:tr>
    </w:tbl>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creates and shares content about the match</w:t>
            </w:r>
          </w:p>
        </w:tc>
      </w:tr>
    </w:tbl>
    <w:tbl>
      <w:tblPr>
        <w:tblW w:w="4353" w:type="dxa"/>
        <w:jc w:val="left"/>
        <w:tblInd w:w="0" w:type="dxa"/>
        <w:tblLayout w:type="fixed"/>
        <w:tblCellMar>
          <w:top w:w="0" w:type="dxa"/>
          <w:left w:w="0" w:type="dxa"/>
          <w:bottom w:w="0" w:type="dxa"/>
          <w:right w:w="0" w:type="dxa"/>
        </w:tblCellMar>
      </w:tblPr>
      <w:tblGrid>
        <w:gridCol w:w="38"/>
        <w:gridCol w:w="170"/>
        <w:gridCol w:w="41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views related stories and posts from other fans</w:t>
            </w:r>
          </w:p>
        </w:tc>
      </w:tr>
    </w:tbl>
    <w:p>
      <w:pPr>
        <w:pStyle w:val="TextBody"/>
        <w:bidi w:val="0"/>
        <w:spacing w:before="0" w:after="0"/>
        <w:ind w:left="2158"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185"/>
        <w:gridCol w:w="21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1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Screen Flows &amp; Features</w:t>
            </w:r>
          </w:p>
        </w:tc>
      </w:tr>
    </w:tbl>
    <w:p>
      <w:pPr>
        <w:pStyle w:val="TextBody"/>
        <w:bidi w:val="0"/>
        <w:spacing w:before="0" w:after="0"/>
        <w:ind w:left="1816" w:right="0" w:hanging="0"/>
        <w:jc w:val="both"/>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275"/>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c>
          <w:tcPr>
            <w:tcW w:w="16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Social Feed Screen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Primary entry point providing a personalized stream of content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User Story</w:t>
      </w:r>
      <w:r>
        <w:rPr>
          <w:rFonts w:ascii="Times New Roman;Times;Serif" w:hAnsi="Times New Roman;Times;Serif"/>
          <w:b w:val="false"/>
          <w:i w:val="false"/>
          <w:caps w:val="false"/>
          <w:smallCaps w:val="false"/>
          <w:sz w:val="20"/>
        </w:rPr>
        <w:t>: As a user, I want to view a stream of relevant content so I can stay updated on football news, opinions, and activities from accounts I follow.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Features &amp; Components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1953" w:type="dxa"/>
        <w:jc w:val="left"/>
        <w:tblInd w:w="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7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Top Navigation Bar</w:t>
            </w:r>
          </w:p>
        </w:tc>
      </w:tr>
    </w:tbl>
    <w:p>
      <w:pPr>
        <w:pStyle w:val="TextBody"/>
        <w:bidi w:val="0"/>
        <w:spacing w:before="0" w:after="0"/>
        <w:jc w:val="left"/>
        <w:rPr>
          <w:caps w:val="false"/>
          <w:smallCaps w:val="false"/>
        </w:rPr>
      </w:pPr>
      <w:r>
        <w:rPr>
          <w:caps w:val="false"/>
          <w:smallCaps w:val="false"/>
        </w:rPr>
        <w:t> </w:t>
      </w:r>
    </w:p>
    <w:tbl>
      <w:tblPr>
        <w:tblW w:w="1443" w:type="dxa"/>
        <w:jc w:val="left"/>
        <w:tblInd w:w="0" w:type="dxa"/>
        <w:tblLayout w:type="fixed"/>
        <w:tblCellMar>
          <w:top w:w="0" w:type="dxa"/>
          <w:left w:w="0" w:type="dxa"/>
          <w:bottom w:w="0" w:type="dxa"/>
          <w:right w:w="0" w:type="dxa"/>
        </w:tblCellMar>
      </w:tblPr>
      <w:tblGrid>
        <w:gridCol w:w="38"/>
        <w:gridCol w:w="170"/>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 logo (left)</w:t>
            </w:r>
          </w:p>
        </w:tc>
      </w:tr>
    </w:tbl>
    <w:tbl>
      <w:tblPr>
        <w:tblW w:w="2688" w:type="dxa"/>
        <w:jc w:val="left"/>
        <w:tblInd w:w="0" w:type="dxa"/>
        <w:tblLayout w:type="fixed"/>
        <w:tblCellMar>
          <w:top w:w="0" w:type="dxa"/>
          <w:left w:w="0" w:type="dxa"/>
          <w:bottom w:w="0" w:type="dxa"/>
          <w:right w:w="0" w:type="dxa"/>
        </w:tblCellMar>
      </w:tblPr>
      <w:tblGrid>
        <w:gridCol w:w="38"/>
        <w:gridCol w:w="170"/>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Wallet/Points indicator (right)</w:t>
            </w:r>
          </w:p>
        </w:tc>
      </w:tr>
    </w:tbl>
    <w:tbl>
      <w:tblPr>
        <w:tblW w:w="2148" w:type="dxa"/>
        <w:jc w:val="left"/>
        <w:tblInd w:w="0" w:type="dxa"/>
        <w:tblLayout w:type="fixed"/>
        <w:tblCellMar>
          <w:top w:w="0" w:type="dxa"/>
          <w:left w:w="0" w:type="dxa"/>
          <w:bottom w:w="0" w:type="dxa"/>
          <w:right w:w="0" w:type="dxa"/>
        </w:tblCellMar>
      </w:tblPr>
      <w:tblGrid>
        <w:gridCol w:w="38"/>
        <w:gridCol w:w="170"/>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bell (right)</w:t>
            </w:r>
          </w:p>
        </w:tc>
      </w:tr>
    </w:tbl>
    <w:p>
      <w:pPr>
        <w:pStyle w:val="TextBody"/>
        <w:bidi w:val="0"/>
        <w:spacing w:before="0" w:after="0"/>
        <w:ind w:left="2879" w:right="0" w:hanging="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7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4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Feed Filter Tabs</w:t>
            </w:r>
          </w:p>
        </w:tc>
      </w:tr>
    </w:tbl>
    <w:p>
      <w:pPr>
        <w:pStyle w:val="TextBody"/>
        <w:bidi w:val="0"/>
        <w:spacing w:before="0" w:after="0"/>
        <w:ind w:left="2158" w:right="0" w:hanging="0"/>
        <w:jc w:val="both"/>
        <w:rPr>
          <w:caps w:val="false"/>
          <w:smallCaps w:val="false"/>
        </w:rPr>
      </w:pPr>
      <w:r>
        <w:rPr>
          <w:caps w:val="false"/>
          <w:smallCaps w:val="false"/>
        </w:rPr>
        <w:t> </w:t>
      </w:r>
    </w:p>
    <w:tbl>
      <w:tblPr>
        <w:tblW w:w="4128" w:type="dxa"/>
        <w:jc w:val="left"/>
        <w:tblInd w:w="0" w:type="dxa"/>
        <w:tblLayout w:type="fixed"/>
        <w:tblCellMar>
          <w:top w:w="0" w:type="dxa"/>
          <w:left w:w="0" w:type="dxa"/>
          <w:bottom w:w="0" w:type="dxa"/>
          <w:right w:w="0" w:type="dxa"/>
        </w:tblCellMar>
      </w:tblPr>
      <w:tblGrid>
        <w:gridCol w:w="38"/>
        <w:gridCol w:w="17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You (personalized algorithm-based content)</w:t>
            </w:r>
          </w:p>
        </w:tc>
      </w:tr>
    </w:tbl>
    <w:tbl>
      <w:tblPr>
        <w:tblW w:w="4803" w:type="dxa"/>
        <w:jc w:val="left"/>
        <w:tblInd w:w="0" w:type="dxa"/>
        <w:tblLayout w:type="fixed"/>
        <w:tblCellMar>
          <w:top w:w="0" w:type="dxa"/>
          <w:left w:w="0" w:type="dxa"/>
          <w:bottom w:w="0" w:type="dxa"/>
          <w:right w:w="0" w:type="dxa"/>
        </w:tblCellMar>
      </w:tblPr>
      <w:tblGrid>
        <w:gridCol w:w="38"/>
        <w:gridCol w:w="170"/>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(content exclusively from followed accounts)</w:t>
            </w:r>
          </w:p>
        </w:tc>
      </w:tr>
    </w:tbl>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Trending (popular content across the platform)</w:t>
            </w:r>
          </w:p>
        </w:tc>
      </w:tr>
    </w:tbl>
    <w:p>
      <w:pPr>
        <w:pStyle w:val="TextBody"/>
        <w:bidi w:val="0"/>
        <w:spacing w:before="0" w:after="0"/>
        <w:ind w:left="2879" w:right="0" w:hanging="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7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4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Stories Carousel</w:t>
            </w:r>
          </w:p>
        </w:tc>
      </w:tr>
    </w:tbl>
    <w:p>
      <w:pPr>
        <w:pStyle w:val="TextBody"/>
        <w:bidi w:val="0"/>
        <w:spacing w:before="0" w:after="0"/>
        <w:ind w:left="2158" w:right="0" w:hanging="0"/>
        <w:jc w:val="both"/>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170"/>
        <w:gridCol w:w="3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Horizontal scrolling row of circular profile icons</w:t>
            </w:r>
          </w:p>
        </w:tc>
      </w:tr>
    </w:tbl>
    <w:tbl>
      <w:tblPr>
        <w:tblW w:w="3108" w:type="dxa"/>
        <w:jc w:val="left"/>
        <w:tblInd w:w="0" w:type="dxa"/>
        <w:tblLayout w:type="fixed"/>
        <w:tblCellMar>
          <w:top w:w="0" w:type="dxa"/>
          <w:left w:w="0" w:type="dxa"/>
          <w:bottom w:w="0" w:type="dxa"/>
          <w:right w:w="0" w:type="dxa"/>
        </w:tblCellMar>
      </w:tblPr>
      <w:tblGrid>
        <w:gridCol w:w="38"/>
        <w:gridCol w:w="170"/>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Your Story” option with plus icon</w:t>
            </w:r>
          </w:p>
        </w:tc>
      </w:tr>
    </w:tbl>
    <w:tbl>
      <w:tblPr>
        <w:tblW w:w="2748" w:type="dxa"/>
        <w:jc w:val="left"/>
        <w:tblInd w:w="0" w:type="dxa"/>
        <w:tblLayout w:type="fixed"/>
        <w:tblCellMar>
          <w:top w:w="0" w:type="dxa"/>
          <w:left w:w="0" w:type="dxa"/>
          <w:bottom w:w="0" w:type="dxa"/>
          <w:right w:w="0" w:type="dxa"/>
        </w:tblCellMar>
      </w:tblPr>
      <w:tblGrid>
        <w:gridCol w:w="38"/>
        <w:gridCol w:w="170"/>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 from followed accounts</w:t>
            </w:r>
          </w:p>
        </w:tc>
      </w:tr>
    </w:tbl>
    <w:tbl>
      <w:tblPr>
        <w:tblW w:w="3138" w:type="dxa"/>
        <w:jc w:val="left"/>
        <w:tblInd w:w="0" w:type="dxa"/>
        <w:tblLayout w:type="fixed"/>
        <w:tblCellMar>
          <w:top w:w="0" w:type="dxa"/>
          <w:left w:w="0" w:type="dxa"/>
          <w:bottom w:w="0" w:type="dxa"/>
          <w:right w:w="0" w:type="dxa"/>
        </w:tblCellMar>
      </w:tblPr>
      <w:tblGrid>
        <w:gridCol w:w="38"/>
        <w:gridCol w:w="17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 indicator for streaming stories</w:t>
            </w:r>
          </w:p>
        </w:tc>
      </w:tr>
    </w:tbl>
    <w:p>
      <w:pPr>
        <w:pStyle w:val="TextBody"/>
        <w:bidi w:val="0"/>
        <w:spacing w:before="0" w:after="0"/>
        <w:ind w:left="2879" w:right="0" w:hanging="0"/>
        <w:jc w:val="both"/>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170"/>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8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Live Matches Section</w:t>
            </w:r>
          </w:p>
        </w:tc>
      </w:tr>
    </w:tbl>
    <w:p>
      <w:pPr>
        <w:pStyle w:val="TextBody"/>
        <w:bidi w:val="0"/>
        <w:spacing w:before="0" w:after="0"/>
        <w:ind w:left="2158" w:right="0" w:hanging="0"/>
        <w:jc w:val="both"/>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 showing current live matches</w:t>
            </w:r>
          </w:p>
        </w:tc>
      </w:tr>
    </w:tbl>
    <w:tbl>
      <w:tblPr>
        <w:tblW w:w="1998" w:type="dxa"/>
        <w:jc w:val="left"/>
        <w:tblInd w:w="0" w:type="dxa"/>
        <w:tblLayout w:type="fixed"/>
        <w:tblCellMar>
          <w:top w:w="0" w:type="dxa"/>
          <w:left w:w="0" w:type="dxa"/>
          <w:bottom w:w="0" w:type="dxa"/>
          <w:right w:w="0" w:type="dxa"/>
        </w:tblCellMar>
      </w:tblPr>
      <w:tblGrid>
        <w:gridCol w:w="38"/>
        <w:gridCol w:w="17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Team logos and score</w:t>
            </w:r>
          </w:p>
        </w:tc>
      </w:tr>
    </w:tbl>
    <w:tbl>
      <w:tblPr>
        <w:tblW w:w="1818" w:type="dxa"/>
        <w:jc w:val="left"/>
        <w:tblInd w:w="0" w:type="dxa"/>
        <w:tblLayout w:type="fixed"/>
        <w:tblCellMar>
          <w:top w:w="0" w:type="dxa"/>
          <w:left w:w="0" w:type="dxa"/>
          <w:bottom w:w="0" w:type="dxa"/>
          <w:right w:w="0" w:type="dxa"/>
        </w:tblCellMar>
      </w:tblPr>
      <w:tblGrid>
        <w:gridCol w:w="38"/>
        <w:gridCol w:w="17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1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Watch Now” CTA</w:t>
            </w:r>
          </w:p>
        </w:tc>
      </w:tr>
    </w:tbl>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Swipeable if multiple matches are live</w:t>
            </w:r>
          </w:p>
        </w:tc>
      </w:tr>
    </w:tbl>
    <w:p>
      <w:pPr>
        <w:pStyle w:val="TextBody"/>
        <w:bidi w:val="0"/>
        <w:spacing w:before="0" w:after="0"/>
        <w:ind w:left="2879" w:right="0" w:hanging="0"/>
        <w:jc w:val="both"/>
        <w:rPr>
          <w:caps w:val="false"/>
          <w:smallCaps w:val="false"/>
        </w:rPr>
      </w:pPr>
      <w:r>
        <w:rPr>
          <w:caps w:val="false"/>
          <w:smallCaps w:val="false"/>
        </w:rPr>
        <w:t> </w:t>
      </w:r>
    </w:p>
    <w:tbl>
      <w:tblPr>
        <w:tblW w:w="1818" w:type="dxa"/>
        <w:jc w:val="left"/>
        <w:tblInd w:w="0" w:type="dxa"/>
        <w:tblLayout w:type="fixed"/>
        <w:tblCellMar>
          <w:top w:w="0" w:type="dxa"/>
          <w:left w:w="0" w:type="dxa"/>
          <w:bottom w:w="0" w:type="dxa"/>
          <w:right w:w="0" w:type="dxa"/>
        </w:tblCellMar>
      </w:tblPr>
      <w:tblGrid>
        <w:gridCol w:w="38"/>
        <w:gridCol w:w="17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 Types in Feed</w:t>
            </w:r>
          </w:p>
        </w:tc>
      </w:tr>
    </w:tbl>
    <w:p>
      <w:pPr>
        <w:pStyle w:val="TextBody"/>
        <w:bidi w:val="0"/>
        <w:spacing w:before="0" w:after="0"/>
        <w:ind w:left="2158" w:right="0" w:hanging="0"/>
        <w:jc w:val="both"/>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posts (text with optional media)</w:t>
            </w:r>
          </w:p>
        </w:tc>
      </w:tr>
    </w:tbl>
    <w:tbl>
      <w:tblPr>
        <w:tblW w:w="3423" w:type="dxa"/>
        <w:jc w:val="left"/>
        <w:tblInd w:w="0" w:type="dxa"/>
        <w:tblLayout w:type="fixed"/>
        <w:tblCellMar>
          <w:top w:w="0" w:type="dxa"/>
          <w:left w:w="0" w:type="dxa"/>
          <w:bottom w:w="0" w:type="dxa"/>
          <w:right w:w="0" w:type="dxa"/>
        </w:tblCellMar>
      </w:tblPr>
      <w:tblGrid>
        <w:gridCol w:w="38"/>
        <w:gridCol w:w="170"/>
        <w:gridCol w:w="3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Image posts (single or multiple images)</w:t>
            </w:r>
          </w:p>
        </w:tc>
      </w:tr>
    </w:tbl>
    <w:tbl>
      <w:tblPr>
        <w:tblW w:w="2898" w:type="dxa"/>
        <w:jc w:val="left"/>
        <w:tblInd w:w="0" w:type="dxa"/>
        <w:tblLayout w:type="fixed"/>
        <w:tblCellMar>
          <w:top w:w="0" w:type="dxa"/>
          <w:left w:w="0" w:type="dxa"/>
          <w:bottom w:w="0" w:type="dxa"/>
          <w:right w:w="0" w:type="dxa"/>
        </w:tblCellMar>
      </w:tblPr>
      <w:tblGrid>
        <w:gridCol w:w="38"/>
        <w:gridCol w:w="17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 posts (auto-play on scroll)</w:t>
            </w:r>
          </w:p>
        </w:tc>
      </w:tr>
    </w:tbl>
    <w:tbl>
      <w:tblPr>
        <w:tblW w:w="2658" w:type="dxa"/>
        <w:jc w:val="left"/>
        <w:tblInd w:w="0" w:type="dxa"/>
        <w:tblLayout w:type="fixed"/>
        <w:tblCellMar>
          <w:top w:w="0" w:type="dxa"/>
          <w:left w:w="0" w:type="dxa"/>
          <w:bottom w:w="0" w:type="dxa"/>
          <w:right w:w="0" w:type="dxa"/>
        </w:tblCellMar>
      </w:tblPr>
      <w:tblGrid>
        <w:gridCol w:w="38"/>
        <w:gridCol w:w="17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Poll posts (interactive voting)</w:t>
            </w:r>
          </w:p>
        </w:tc>
      </w:tr>
    </w:tbl>
    <w:tbl>
      <w:tblPr>
        <w:tblW w:w="3123" w:type="dxa"/>
        <w:jc w:val="left"/>
        <w:tblInd w:w="0" w:type="dxa"/>
        <w:tblLayout w:type="fixed"/>
        <w:tblCellMar>
          <w:top w:w="0" w:type="dxa"/>
          <w:left w:w="0" w:type="dxa"/>
          <w:bottom w:w="0" w:type="dxa"/>
          <w:right w:w="0" w:type="dxa"/>
        </w:tblCellMar>
      </w:tblPr>
      <w:tblGrid>
        <w:gridCol w:w="38"/>
        <w:gridCol w:w="170"/>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 posts (match updates, news)</w:t>
            </w:r>
          </w:p>
        </w:tc>
      </w:tr>
    </w:tbl>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Promo posts (special announcements)</w:t>
            </w:r>
          </w:p>
        </w:tc>
      </w:tr>
    </w:tbl>
    <w:p>
      <w:pPr>
        <w:pStyle w:val="TextBody"/>
        <w:bidi w:val="0"/>
        <w:spacing w:before="0" w:after="0"/>
        <w:ind w:left="287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879" w:right="0" w:hanging="360"/>
        <w:jc w:val="both"/>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17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2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 Interaction Elements</w:t>
            </w:r>
          </w:p>
        </w:tc>
      </w:tr>
    </w:tbl>
    <w:p>
      <w:pPr>
        <w:pStyle w:val="TextBody"/>
        <w:bidi w:val="0"/>
        <w:spacing w:before="0" w:after="0"/>
        <w:ind w:left="2158" w:right="0" w:hanging="0"/>
        <w:jc w:val="both"/>
        <w:rPr>
          <w:caps w:val="false"/>
          <w:smallCaps w:val="false"/>
        </w:rPr>
      </w:pPr>
      <w:r>
        <w:rPr>
          <w:caps w:val="false"/>
          <w:smallCaps w:val="false"/>
        </w:rPr>
        <w:t> </w:t>
      </w:r>
    </w:p>
    <w:tbl>
      <w:tblPr>
        <w:tblW w:w="1203" w:type="dxa"/>
        <w:jc w:val="left"/>
        <w:tblInd w:w="0" w:type="dxa"/>
        <w:tblLayout w:type="fixed"/>
        <w:tblCellMar>
          <w:top w:w="0" w:type="dxa"/>
          <w:left w:w="0" w:type="dxa"/>
          <w:bottom w:w="0" w:type="dxa"/>
          <w:right w:w="0" w:type="dxa"/>
        </w:tblCellMar>
      </w:tblPr>
      <w:tblGrid>
        <w:gridCol w:w="38"/>
        <w:gridCol w:w="170"/>
        <w:gridCol w:w="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 button</w:t>
            </w:r>
          </w:p>
        </w:tc>
      </w:tr>
    </w:tbl>
    <w:tbl>
      <w:tblPr>
        <w:tblW w:w="1623" w:type="dxa"/>
        <w:jc w:val="left"/>
        <w:tblInd w:w="0" w:type="dxa"/>
        <w:tblLayout w:type="fixed"/>
        <w:tblCellMar>
          <w:top w:w="0" w:type="dxa"/>
          <w:left w:w="0" w:type="dxa"/>
          <w:bottom w:w="0" w:type="dxa"/>
          <w:right w:w="0" w:type="dxa"/>
        </w:tblCellMar>
      </w:tblPr>
      <w:tblGrid>
        <w:gridCol w:w="38"/>
        <w:gridCol w:w="17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 button</w:t>
            </w:r>
          </w:p>
        </w:tc>
      </w:tr>
    </w:tbl>
    <w:tbl>
      <w:tblPr>
        <w:tblW w:w="1278" w:type="dxa"/>
        <w:jc w:val="left"/>
        <w:tblInd w:w="0" w:type="dxa"/>
        <w:tblLayout w:type="fixed"/>
        <w:tblCellMar>
          <w:top w:w="0" w:type="dxa"/>
          <w:left w:w="0" w:type="dxa"/>
          <w:bottom w:w="0" w:type="dxa"/>
          <w:right w:w="0" w:type="dxa"/>
        </w:tblCellMar>
      </w:tblPr>
      <w:tblGrid>
        <w:gridCol w:w="38"/>
        <w:gridCol w:w="170"/>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button</w:t>
            </w:r>
          </w:p>
        </w:tc>
      </w:tr>
    </w:tbl>
    <w:tbl>
      <w:tblPr>
        <w:tblW w:w="2838" w:type="dxa"/>
        <w:jc w:val="left"/>
        <w:tblInd w:w="0" w:type="dxa"/>
        <w:tblLayout w:type="fixed"/>
        <w:tblCellMar>
          <w:top w:w="0" w:type="dxa"/>
          <w:left w:w="0" w:type="dxa"/>
          <w:bottom w:w="0" w:type="dxa"/>
          <w:right w:w="0" w:type="dxa"/>
        </w:tblCellMar>
      </w:tblPr>
      <w:tblGrid>
        <w:gridCol w:w="38"/>
        <w:gridCol w:w="17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 menu (report, hide, save)</w:t>
            </w:r>
          </w:p>
        </w:tc>
      </w:tr>
    </w:tbl>
    <w:p>
      <w:pPr>
        <w:pStyle w:val="TextBody"/>
        <w:bidi w:val="0"/>
        <w:spacing w:before="0" w:after="0"/>
        <w:ind w:left="287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Interaction Flows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4173" w:type="dxa"/>
        <w:jc w:val="left"/>
        <w:tblInd w:w="0" w:type="dxa"/>
        <w:tblLayout w:type="fixed"/>
        <w:tblCellMar>
          <w:top w:w="0" w:type="dxa"/>
          <w:left w:w="0" w:type="dxa"/>
          <w:bottom w:w="0" w:type="dxa"/>
          <w:right w:w="0" w:type="dxa"/>
        </w:tblCellMar>
      </w:tblPr>
      <w:tblGrid>
        <w:gridCol w:w="38"/>
        <w:gridCol w:w="17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Pull-to-refresh</w:t>
            </w:r>
            <w:r>
              <w:rPr>
                <w:rFonts w:ascii="Times New Roman;Times;Serif" w:hAnsi="Times New Roman;Times;Serif"/>
                <w:b w:val="false"/>
                <w:i w:val="false"/>
                <w:caps w:val="false"/>
                <w:smallCaps w:val="false"/>
                <w:sz w:val="20"/>
              </w:rPr>
              <w:t>: Updates feed with latest content</w:t>
            </w:r>
          </w:p>
        </w:tc>
      </w:tr>
    </w:tbl>
    <w:tbl>
      <w:tblPr>
        <w:tblW w:w="4173" w:type="dxa"/>
        <w:jc w:val="left"/>
        <w:tblInd w:w="0" w:type="dxa"/>
        <w:tblLayout w:type="fixed"/>
        <w:tblCellMar>
          <w:top w:w="0" w:type="dxa"/>
          <w:left w:w="0" w:type="dxa"/>
          <w:bottom w:w="0" w:type="dxa"/>
          <w:right w:w="0" w:type="dxa"/>
        </w:tblCellMar>
      </w:tblPr>
      <w:tblGrid>
        <w:gridCol w:w="38"/>
        <w:gridCol w:w="17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Tapping story circle</w:t>
            </w:r>
            <w:r>
              <w:rPr>
                <w:rFonts w:ascii="Times New Roman;Times;Serif" w:hAnsi="Times New Roman;Times;Serif"/>
                <w:b w:val="false"/>
                <w:i w:val="false"/>
                <w:caps w:val="false"/>
                <w:smallCaps w:val="false"/>
                <w:sz w:val="20"/>
              </w:rPr>
              <w:t>: Opens story viewer screen</w:t>
            </w:r>
          </w:p>
        </w:tc>
      </w:tr>
    </w:tbl>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Tapping “Your Story”</w:t>
            </w:r>
            <w:r>
              <w:rPr>
                <w:rFonts w:ascii="Times New Roman;Times;Serif" w:hAnsi="Times New Roman;Times;Serif"/>
                <w:b w:val="false"/>
                <w:i w:val="false"/>
                <w:caps w:val="false"/>
                <w:smallCaps w:val="false"/>
                <w:sz w:val="20"/>
              </w:rPr>
              <w:t>: Opens story creation flow</w:t>
            </w:r>
          </w:p>
        </w:tc>
      </w:tr>
    </w:tbl>
    <w:tbl>
      <w:tblPr>
        <w:tblW w:w="1728" w:type="dxa"/>
        <w:jc w:val="left"/>
        <w:tblInd w:w="0" w:type="dxa"/>
        <w:tblLayout w:type="fixed"/>
        <w:tblCellMar>
          <w:top w:w="0" w:type="dxa"/>
          <w:left w:w="0" w:type="dxa"/>
          <w:bottom w:w="0" w:type="dxa"/>
          <w:right w:w="0" w:type="dxa"/>
        </w:tblCellMar>
      </w:tblPr>
      <w:tblGrid>
        <w:gridCol w:w="38"/>
        <w:gridCol w:w="17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5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 engagement:</w:t>
            </w:r>
          </w:p>
        </w:tc>
      </w:tr>
    </w:tbl>
    <w:p>
      <w:pPr>
        <w:pStyle w:val="TextBody"/>
        <w:bidi w:val="0"/>
        <w:spacing w:before="0" w:after="0"/>
        <w:ind w:left="2158" w:right="0" w:hanging="0"/>
        <w:jc w:val="both"/>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17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Tapping like: Increments like count</w:t>
            </w:r>
          </w:p>
        </w:tc>
      </w:tr>
    </w:tbl>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Tapping comment: Expands comment section</w:t>
            </w:r>
          </w:p>
        </w:tc>
      </w:tr>
    </w:tbl>
    <w:tbl>
      <w:tblPr>
        <w:tblW w:w="3318" w:type="dxa"/>
        <w:jc w:val="left"/>
        <w:tblInd w:w="0" w:type="dxa"/>
        <w:tblLayout w:type="fixed"/>
        <w:tblCellMar>
          <w:top w:w="0" w:type="dxa"/>
          <w:left w:w="0" w:type="dxa"/>
          <w:bottom w:w="0" w:type="dxa"/>
          <w:right w:w="0" w:type="dxa"/>
        </w:tblCellMar>
      </w:tblPr>
      <w:tblGrid>
        <w:gridCol w:w="38"/>
        <w:gridCol w:w="17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Tapping share: Opens sharing options</w:t>
            </w:r>
          </w:p>
        </w:tc>
      </w:tr>
    </w:tbl>
    <w:tbl>
      <w:tblPr>
        <w:tblW w:w="3408" w:type="dxa"/>
        <w:jc w:val="left"/>
        <w:tblInd w:w="0" w:type="dxa"/>
        <w:tblLayout w:type="fixed"/>
        <w:tblCellMar>
          <w:top w:w="0" w:type="dxa"/>
          <w:left w:w="0" w:type="dxa"/>
          <w:bottom w:w="0" w:type="dxa"/>
          <w:right w:w="0" w:type="dxa"/>
        </w:tblCellMar>
      </w:tblPr>
      <w:tblGrid>
        <w:gridCol w:w="38"/>
        <w:gridCol w:w="170"/>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Long-pressing: Shows reaction options</w:t>
            </w:r>
          </w:p>
        </w:tc>
      </w:tr>
    </w:tbl>
    <w:p>
      <w:pPr>
        <w:pStyle w:val="TextBody"/>
        <w:bidi w:val="0"/>
        <w:spacing w:before="0" w:after="0"/>
        <w:ind w:left="2879" w:right="0" w:hanging="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Tapping “Watch Now”</w:t>
            </w:r>
            <w:r>
              <w:rPr>
                <w:rFonts w:ascii="Times New Roman;Times;Serif" w:hAnsi="Times New Roman;Times;Serif"/>
                <w:b w:val="false"/>
                <w:i w:val="false"/>
                <w:caps w:val="false"/>
                <w:smallCaps w:val="false"/>
                <w:sz w:val="20"/>
              </w:rPr>
              <w:t>: Navigates to live stream</w:t>
            </w:r>
          </w:p>
        </w:tc>
      </w:tr>
    </w:tbl>
    <w:p>
      <w:pPr>
        <w:pStyle w:val="TextBody"/>
        <w:bidi w:val="0"/>
        <w:spacing w:before="0" w:after="0"/>
        <w:ind w:left="2158" w:right="0" w:hanging="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290"/>
        <w:gridCol w:w="16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c>
          <w:tcPr>
            <w:tcW w:w="16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Stories Experience</w:t>
            </w:r>
          </w:p>
        </w:tc>
      </w:tr>
    </w:tbl>
    <w:p>
      <w:pPr>
        <w:pStyle w:val="TextBody"/>
        <w:bidi w:val="0"/>
        <w:spacing w:before="0" w:after="0"/>
        <w:ind w:left="187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Provide ephemeral content sharing and viewing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User Story</w:t>
      </w:r>
      <w:r>
        <w:rPr>
          <w:rFonts w:ascii="Times New Roman;Times;Serif" w:hAnsi="Times New Roman;Times;Serif"/>
          <w:b w:val="false"/>
          <w:i w:val="false"/>
          <w:caps w:val="false"/>
          <w:smallCaps w:val="false"/>
          <w:sz w:val="20"/>
        </w:rPr>
        <w:t>: As a user, I want to create and view short-lived content to share moments and see real-time updates from other users.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Features &amp; Components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9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Story Creation Screen</w:t>
            </w:r>
          </w:p>
        </w:tc>
      </w:tr>
    </w:tbl>
    <w:p>
      <w:pPr>
        <w:pStyle w:val="TextBody"/>
        <w:bidi w:val="0"/>
        <w:spacing w:before="0" w:after="0"/>
        <w:ind w:left="2158" w:right="0" w:hanging="0"/>
        <w:jc w:val="both"/>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170"/>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Camera/gallery access</w:t>
            </w:r>
          </w:p>
        </w:tc>
      </w:tr>
    </w:tbl>
    <w:tbl>
      <w:tblPr>
        <w:tblW w:w="1728" w:type="dxa"/>
        <w:jc w:val="left"/>
        <w:tblInd w:w="0" w:type="dxa"/>
        <w:tblLayout w:type="fixed"/>
        <w:tblCellMar>
          <w:top w:w="0" w:type="dxa"/>
          <w:left w:w="0" w:type="dxa"/>
          <w:bottom w:w="0" w:type="dxa"/>
          <w:right w:w="0" w:type="dxa"/>
        </w:tblCellMar>
      </w:tblPr>
      <w:tblGrid>
        <w:gridCol w:w="38"/>
        <w:gridCol w:w="17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 overlay tools</w:t>
            </w:r>
          </w:p>
        </w:tc>
      </w:tr>
    </w:tbl>
    <w:tbl>
      <w:tblPr>
        <w:tblW w:w="1668" w:type="dxa"/>
        <w:jc w:val="left"/>
        <w:tblInd w:w="0" w:type="dxa"/>
        <w:tblLayout w:type="fixed"/>
        <w:tblCellMar>
          <w:top w:w="0" w:type="dxa"/>
          <w:left w:w="0" w:type="dxa"/>
          <w:bottom w:w="0" w:type="dxa"/>
          <w:right w:w="0" w:type="dxa"/>
        </w:tblCellMar>
      </w:tblPr>
      <w:tblGrid>
        <w:gridCol w:w="38"/>
        <w:gridCol w:w="17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Filters and effects</w:t>
            </w:r>
          </w:p>
        </w:tc>
      </w:tr>
    </w:tbl>
    <w:tbl>
      <w:tblPr>
        <w:tblW w:w="1383" w:type="dxa"/>
        <w:jc w:val="left"/>
        <w:tblInd w:w="0" w:type="dxa"/>
        <w:tblLayout w:type="fixed"/>
        <w:tblCellMar>
          <w:top w:w="0" w:type="dxa"/>
          <w:left w:w="0" w:type="dxa"/>
          <w:bottom w:w="0" w:type="dxa"/>
          <w:right w:w="0" w:type="dxa"/>
        </w:tblCellMar>
      </w:tblPr>
      <w:tblGrid>
        <w:gridCol w:w="38"/>
        <w:gridCol w:w="170"/>
        <w:gridCol w:w="1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Drawing tools</w:t>
            </w:r>
          </w:p>
        </w:tc>
      </w:tr>
    </w:tbl>
    <w:tbl>
      <w:tblPr>
        <w:tblW w:w="1323" w:type="dxa"/>
        <w:jc w:val="left"/>
        <w:tblInd w:w="0" w:type="dxa"/>
        <w:tblLayout w:type="fixed"/>
        <w:tblCellMar>
          <w:top w:w="0" w:type="dxa"/>
          <w:left w:w="0" w:type="dxa"/>
          <w:bottom w:w="0" w:type="dxa"/>
          <w:right w:w="0" w:type="dxa"/>
        </w:tblCellMar>
      </w:tblPr>
      <w:tblGrid>
        <w:gridCol w:w="38"/>
        <w:gridCol w:w="170"/>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Stickers/GIFs</w:t>
            </w:r>
          </w:p>
        </w:tc>
      </w:tr>
    </w:tbl>
    <w:tbl>
      <w:tblPr>
        <w:tblW w:w="3303" w:type="dxa"/>
        <w:jc w:val="left"/>
        <w:tblInd w:w="0" w:type="dxa"/>
        <w:tblLayout w:type="fixed"/>
        <w:tblCellMar>
          <w:top w:w="0" w:type="dxa"/>
          <w:left w:w="0" w:type="dxa"/>
          <w:bottom w:w="0" w:type="dxa"/>
          <w:right w:w="0" w:type="dxa"/>
        </w:tblCellMar>
      </w:tblPr>
      <w:tblGrid>
        <w:gridCol w:w="38"/>
        <w:gridCol w:w="17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Audience selection (public/followers)</w:t>
            </w:r>
          </w:p>
        </w:tc>
      </w:tr>
    </w:tbl>
    <w:p>
      <w:pPr>
        <w:pStyle w:val="TextBody"/>
        <w:bidi w:val="0"/>
        <w:spacing w:before="0" w:after="0"/>
        <w:ind w:left="2879" w:right="0" w:hanging="0"/>
        <w:jc w:val="both"/>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38"/>
        <w:gridCol w:w="17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7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Story Viewer Screen</w:t>
            </w:r>
          </w:p>
        </w:tc>
      </w:tr>
    </w:tbl>
    <w:p>
      <w:pPr>
        <w:pStyle w:val="TextBody"/>
        <w:bidi w:val="0"/>
        <w:spacing w:before="0" w:after="0"/>
        <w:ind w:left="2158" w:right="0" w:hanging="0"/>
        <w:jc w:val="both"/>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17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Fullscreen display of stories</w:t>
            </w:r>
          </w:p>
        </w:tc>
      </w:tr>
    </w:tbl>
    <w:tbl>
      <w:tblPr>
        <w:tblW w:w="1893" w:type="dxa"/>
        <w:jc w:val="left"/>
        <w:tblInd w:w="0" w:type="dxa"/>
        <w:tblLayout w:type="fixed"/>
        <w:tblCellMar>
          <w:top w:w="0" w:type="dxa"/>
          <w:left w:w="0" w:type="dxa"/>
          <w:bottom w:w="0" w:type="dxa"/>
          <w:right w:w="0" w:type="dxa"/>
        </w:tblCellMar>
      </w:tblPr>
      <w:tblGrid>
        <w:gridCol w:w="38"/>
        <w:gridCol w:w="17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 to skip/advance</w:t>
            </w:r>
          </w:p>
        </w:tc>
      </w:tr>
    </w:tbl>
    <w:tbl>
      <w:tblPr>
        <w:tblW w:w="2493" w:type="dxa"/>
        <w:jc w:val="left"/>
        <w:tblInd w:w="0" w:type="dxa"/>
        <w:tblLayout w:type="fixed"/>
        <w:tblCellMar>
          <w:top w:w="0" w:type="dxa"/>
          <w:left w:w="0" w:type="dxa"/>
          <w:bottom w:w="0" w:type="dxa"/>
          <w:right w:w="0" w:type="dxa"/>
        </w:tblCellMar>
      </w:tblPr>
      <w:tblGrid>
        <w:gridCol w:w="38"/>
        <w:gridCol w:w="17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Swipe to next/previous user</w:t>
            </w:r>
          </w:p>
        </w:tc>
      </w:tr>
    </w:tbl>
    <w:tbl>
      <w:tblPr>
        <w:tblW w:w="1953" w:type="dxa"/>
        <w:jc w:val="left"/>
        <w:tblInd w:w="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View count indicator</w:t>
            </w:r>
          </w:p>
        </w:tc>
      </w:tr>
    </w:tbl>
    <w:tbl>
      <w:tblPr>
        <w:tblW w:w="1638" w:type="dxa"/>
        <w:jc w:val="left"/>
        <w:tblInd w:w="0" w:type="dxa"/>
        <w:tblLayout w:type="fixed"/>
        <w:tblCellMar>
          <w:top w:w="0" w:type="dxa"/>
          <w:left w:w="0" w:type="dxa"/>
          <w:bottom w:w="0" w:type="dxa"/>
          <w:right w:w="0" w:type="dxa"/>
        </w:tblCellMar>
      </w:tblPr>
      <w:tblGrid>
        <w:gridCol w:w="38"/>
        <w:gridCol w:w="17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Reply input field</w:t>
            </w:r>
          </w:p>
        </w:tc>
      </w:tr>
    </w:tbl>
    <w:tbl>
      <w:tblPr>
        <w:tblW w:w="2103" w:type="dxa"/>
        <w:jc w:val="left"/>
        <w:tblInd w:w="0" w:type="dxa"/>
        <w:tblLayout w:type="fixed"/>
        <w:tblCellMar>
          <w:top w:w="0" w:type="dxa"/>
          <w:left w:w="0" w:type="dxa"/>
          <w:bottom w:w="0" w:type="dxa"/>
          <w:right w:w="0" w:type="dxa"/>
        </w:tblCellMar>
      </w:tblPr>
      <w:tblGrid>
        <w:gridCol w:w="38"/>
        <w:gridCol w:w="17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Quick reaction buttons</w:t>
            </w:r>
          </w:p>
        </w:tc>
      </w:tr>
    </w:tbl>
    <w:p>
      <w:pPr>
        <w:pStyle w:val="TextBody"/>
        <w:bidi w:val="0"/>
        <w:spacing w:before="0" w:after="0"/>
        <w:ind w:left="287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879" w:right="0" w:hanging="360"/>
        <w:jc w:val="both"/>
        <w:rPr>
          <w:caps w:val="false"/>
          <w:smallCaps w:val="false"/>
        </w:rPr>
      </w:pPr>
      <w:r>
        <w:rPr>
          <w:caps w:val="false"/>
          <w:smallCaps w:val="false"/>
        </w:rPr>
        <w:t> </w:t>
      </w:r>
    </w:p>
    <w:tbl>
      <w:tblPr>
        <w:tblW w:w="1263" w:type="dxa"/>
        <w:jc w:val="left"/>
        <w:tblInd w:w="0" w:type="dxa"/>
        <w:tblLayout w:type="fixed"/>
        <w:tblCellMar>
          <w:top w:w="0" w:type="dxa"/>
          <w:left w:w="0" w:type="dxa"/>
          <w:bottom w:w="0" w:type="dxa"/>
          <w:right w:w="0" w:type="dxa"/>
        </w:tblCellMar>
      </w:tblPr>
      <w:tblGrid>
        <w:gridCol w:w="38"/>
        <w:gridCol w:w="170"/>
        <w:gridCol w:w="1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Story Types</w:t>
            </w:r>
          </w:p>
        </w:tc>
      </w:tr>
    </w:tbl>
    <w:p>
      <w:pPr>
        <w:pStyle w:val="TextBody"/>
        <w:bidi w:val="0"/>
        <w:spacing w:before="0" w:after="0"/>
        <w:ind w:left="2158" w:right="0" w:hanging="0"/>
        <w:jc w:val="both"/>
        <w:rPr>
          <w:caps w:val="false"/>
          <w:smallCaps w:val="false"/>
        </w:rPr>
      </w:pPr>
      <w:r>
        <w:rPr>
          <w:caps w:val="false"/>
          <w:smallCaps w:val="false"/>
        </w:rPr>
        <w:t> </w:t>
      </w:r>
    </w:p>
    <w:tbl>
      <w:tblPr>
        <w:tblW w:w="1293" w:type="dxa"/>
        <w:jc w:val="left"/>
        <w:tblInd w:w="0" w:type="dxa"/>
        <w:tblLayout w:type="fixed"/>
        <w:tblCellMar>
          <w:top w:w="0" w:type="dxa"/>
          <w:left w:w="0" w:type="dxa"/>
          <w:bottom w:w="0" w:type="dxa"/>
          <w:right w:w="0" w:type="dxa"/>
        </w:tblCellMar>
      </w:tblPr>
      <w:tblGrid>
        <w:gridCol w:w="38"/>
        <w:gridCol w:w="170"/>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Photo stories</w:t>
            </w:r>
          </w:p>
        </w:tc>
      </w:tr>
    </w:tbl>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 stories (max 15 seconds)</w:t>
            </w:r>
          </w:p>
        </w:tc>
      </w:tr>
    </w:tbl>
    <w:tbl>
      <w:tblPr>
        <w:tblW w:w="1623" w:type="dxa"/>
        <w:jc w:val="left"/>
        <w:tblInd w:w="0" w:type="dxa"/>
        <w:tblLayout w:type="fixed"/>
        <w:tblCellMar>
          <w:top w:w="0" w:type="dxa"/>
          <w:left w:w="0" w:type="dxa"/>
          <w:bottom w:w="0" w:type="dxa"/>
          <w:right w:w="0" w:type="dxa"/>
        </w:tblCellMar>
      </w:tblPr>
      <w:tblGrid>
        <w:gridCol w:w="38"/>
        <w:gridCol w:w="17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Text-only stories</w:t>
            </w:r>
          </w:p>
        </w:tc>
      </w:tr>
    </w:tbl>
    <w:tbl>
      <w:tblPr>
        <w:tblW w:w="1143" w:type="dxa"/>
        <w:jc w:val="left"/>
        <w:tblInd w:w="0" w:type="dxa"/>
        <w:tblLayout w:type="fixed"/>
        <w:tblCellMar>
          <w:top w:w="0" w:type="dxa"/>
          <w:left w:w="0" w:type="dxa"/>
          <w:bottom w:w="0" w:type="dxa"/>
          <w:right w:w="0" w:type="dxa"/>
        </w:tblCellMar>
      </w:tblPr>
      <w:tblGrid>
        <w:gridCol w:w="38"/>
        <w:gridCol w:w="170"/>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Poll stories</w:t>
            </w:r>
          </w:p>
        </w:tc>
      </w:tr>
    </w:tbl>
    <w:p>
      <w:pPr>
        <w:pStyle w:val="TextBody"/>
        <w:bidi w:val="0"/>
        <w:spacing w:before="0" w:after="0"/>
        <w:ind w:left="2879" w:right="0" w:hanging="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3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Story Duration &amp; Lifecycle</w:t>
            </w:r>
          </w:p>
        </w:tc>
      </w:tr>
    </w:tbl>
    <w:p>
      <w:pPr>
        <w:pStyle w:val="TextBody"/>
        <w:bidi w:val="0"/>
        <w:spacing w:before="0" w:after="0"/>
        <w:ind w:left="2158" w:right="0" w:hanging="0"/>
        <w:jc w:val="both"/>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17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24-hour visibility</w:t>
            </w:r>
          </w:p>
        </w:tc>
      </w:tr>
    </w:tbl>
    <w:tbl>
      <w:tblPr>
        <w:tblW w:w="1383" w:type="dxa"/>
        <w:jc w:val="left"/>
        <w:tblInd w:w="0" w:type="dxa"/>
        <w:tblLayout w:type="fixed"/>
        <w:tblCellMar>
          <w:top w:w="0" w:type="dxa"/>
          <w:left w:w="0" w:type="dxa"/>
          <w:bottom w:w="0" w:type="dxa"/>
          <w:right w:w="0" w:type="dxa"/>
        </w:tblCellMar>
      </w:tblPr>
      <w:tblGrid>
        <w:gridCol w:w="38"/>
        <w:gridCol w:w="170"/>
        <w:gridCol w:w="1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View tracking</w:t>
            </w:r>
          </w:p>
        </w:tc>
      </w:tr>
    </w:tbl>
    <w:tbl>
      <w:tblPr>
        <w:tblW w:w="1728" w:type="dxa"/>
        <w:jc w:val="left"/>
        <w:tblInd w:w="0" w:type="dxa"/>
        <w:tblLayout w:type="fixed"/>
        <w:tblCellMar>
          <w:top w:w="0" w:type="dxa"/>
          <w:left w:w="0" w:type="dxa"/>
          <w:bottom w:w="0" w:type="dxa"/>
          <w:right w:w="0" w:type="dxa"/>
        </w:tblCellMar>
      </w:tblPr>
      <w:tblGrid>
        <w:gridCol w:w="38"/>
        <w:gridCol w:w="17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Archiving options</w:t>
            </w:r>
          </w:p>
        </w:tc>
      </w:tr>
    </w:tbl>
    <w:p>
      <w:pPr>
        <w:pStyle w:val="TextBody"/>
        <w:bidi w:val="0"/>
        <w:spacing w:before="0" w:after="0"/>
        <w:ind w:left="287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Interaction Flows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17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Creating a story</w:t>
            </w:r>
            <w:r>
              <w:rPr>
                <w:rFonts w:ascii="Times New Roman;Times;Serif" w:hAnsi="Times New Roman;Times;Serif"/>
                <w:b w:val="false"/>
                <w:i w:val="false"/>
                <w:caps w:val="false"/>
                <w:smallCaps w:val="false"/>
                <w:sz w:val="20"/>
              </w:rPr>
              <w:t>:</w:t>
            </w:r>
          </w:p>
        </w:tc>
      </w:tr>
    </w:tbl>
    <w:p>
      <w:pPr>
        <w:pStyle w:val="TextBody"/>
        <w:bidi w:val="0"/>
        <w:spacing w:before="0" w:after="0"/>
        <w:ind w:left="2158" w:right="0" w:hanging="0"/>
        <w:jc w:val="both"/>
        <w:rPr>
          <w:caps w:val="false"/>
          <w:smallCaps w:val="false"/>
        </w:rPr>
      </w:pPr>
      <w:r>
        <w:rPr>
          <w:caps w:val="false"/>
          <w:smallCaps w:val="false"/>
        </w:rPr>
        <w:t> </w:t>
      </w:r>
    </w:p>
    <w:tbl>
      <w:tblPr>
        <w:tblW w:w="7518" w:type="dxa"/>
        <w:jc w:val="left"/>
        <w:tblInd w:w="0" w:type="dxa"/>
        <w:tblLayout w:type="fixed"/>
        <w:tblCellMar>
          <w:top w:w="0" w:type="dxa"/>
          <w:left w:w="0" w:type="dxa"/>
          <w:bottom w:w="0" w:type="dxa"/>
          <w:right w:w="0" w:type="dxa"/>
        </w:tblCellMar>
      </w:tblPr>
      <w:tblGrid>
        <w:gridCol w:w="38"/>
        <w:gridCol w:w="170"/>
        <w:gridCol w:w="7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 “Your Story” → Camera interface → Capture/select media → Add text/effects → Post</w:t>
            </w:r>
          </w:p>
        </w:tc>
      </w:tr>
    </w:tbl>
    <w:tbl>
      <w:tblPr>
        <w:tblW w:w="3678" w:type="dxa"/>
        <w:jc w:val="left"/>
        <w:tblInd w:w="0" w:type="dxa"/>
        <w:tblLayout w:type="fixed"/>
        <w:tblCellMar>
          <w:top w:w="0" w:type="dxa"/>
          <w:left w:w="0" w:type="dxa"/>
          <w:bottom w:w="0" w:type="dxa"/>
          <w:right w:w="0" w:type="dxa"/>
        </w:tblCellMar>
      </w:tblPr>
      <w:tblGrid>
        <w:gridCol w:w="38"/>
        <w:gridCol w:w="17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 automatically expire after 24 hours</w:t>
            </w:r>
          </w:p>
        </w:tc>
      </w:tr>
    </w:tbl>
    <w:p>
      <w:pPr>
        <w:pStyle w:val="TextBody"/>
        <w:bidi w:val="0"/>
        <w:spacing w:before="0" w:after="0"/>
        <w:ind w:left="2879" w:right="0" w:hanging="0"/>
        <w:jc w:val="both"/>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170"/>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3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Viewing stories:</w:t>
            </w:r>
          </w:p>
        </w:tc>
      </w:tr>
    </w:tbl>
    <w:p>
      <w:pPr>
        <w:pStyle w:val="TextBody"/>
        <w:bidi w:val="0"/>
        <w:spacing w:before="0" w:after="0"/>
        <w:ind w:left="2158" w:right="0" w:hanging="0"/>
        <w:jc w:val="both"/>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17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 on a user’s story circle → View story → Swipe for more</w:t>
            </w:r>
          </w:p>
        </w:tc>
      </w:tr>
    </w:tbl>
    <w:tbl>
      <w:tblPr>
        <w:tblW w:w="3498" w:type="dxa"/>
        <w:jc w:val="left"/>
        <w:tblInd w:w="0" w:type="dxa"/>
        <w:tblLayout w:type="fixed"/>
        <w:tblCellMar>
          <w:top w:w="0" w:type="dxa"/>
          <w:left w:w="0" w:type="dxa"/>
          <w:bottom w:w="0" w:type="dxa"/>
          <w:right w:w="0" w:type="dxa"/>
        </w:tblCellMar>
      </w:tblPr>
      <w:tblGrid>
        <w:gridCol w:w="38"/>
        <w:gridCol w:w="170"/>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 auto-advance after their duration</w:t>
            </w:r>
          </w:p>
        </w:tc>
      </w:tr>
    </w:tbl>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 left/right to navigate between stories</w:t>
            </w:r>
          </w:p>
        </w:tc>
      </w:tr>
    </w:tbl>
    <w:p>
      <w:pPr>
        <w:pStyle w:val="TextBody"/>
        <w:bidi w:val="0"/>
        <w:spacing w:before="0" w:after="0"/>
        <w:ind w:left="2879" w:right="0" w:hanging="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290"/>
        <w:gridCol w:w="239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w:t>
            </w:r>
          </w:p>
        </w:tc>
        <w:tc>
          <w:tcPr>
            <w:tcW w:w="23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 Creation &amp; Interaction</w:t>
            </w:r>
          </w:p>
        </w:tc>
      </w:tr>
    </w:tbl>
    <w:p>
      <w:pPr>
        <w:pStyle w:val="TextBody"/>
        <w:bidi w:val="0"/>
        <w:spacing w:before="0" w:after="0"/>
        <w:ind w:left="187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Enable users to create and interact with various content types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User Story</w:t>
      </w:r>
      <w:r>
        <w:rPr>
          <w:rFonts w:ascii="Times New Roman;Times;Serif" w:hAnsi="Times New Roman;Times;Serif"/>
          <w:b w:val="false"/>
          <w:i w:val="false"/>
          <w:caps w:val="false"/>
          <w:smallCaps w:val="false"/>
          <w:sz w:val="20"/>
        </w:rPr>
        <w:t>: As a user, I want to create posts to share my thoughts, media, and engage with the football community.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Features &amp; Components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38"/>
        <w:gridCol w:w="170"/>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 Creation Screen</w:t>
            </w:r>
          </w:p>
        </w:tc>
      </w:tr>
    </w:tbl>
    <w:p>
      <w:pPr>
        <w:pStyle w:val="TextBody"/>
        <w:bidi w:val="0"/>
        <w:spacing w:before="0" w:after="0"/>
        <w:ind w:left="2158" w:right="0" w:hanging="0"/>
        <w:jc w:val="both"/>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17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 input field</w:t>
            </w:r>
          </w:p>
        </w:tc>
      </w:tr>
    </w:tbl>
    <w:tbl>
      <w:tblPr>
        <w:tblW w:w="3618" w:type="dxa"/>
        <w:jc w:val="left"/>
        <w:tblInd w:w="0" w:type="dxa"/>
        <w:tblLayout w:type="fixed"/>
        <w:tblCellMar>
          <w:top w:w="0" w:type="dxa"/>
          <w:left w:w="0" w:type="dxa"/>
          <w:bottom w:w="0" w:type="dxa"/>
          <w:right w:w="0" w:type="dxa"/>
        </w:tblCellMar>
      </w:tblPr>
      <w:tblGrid>
        <w:gridCol w:w="38"/>
        <w:gridCol w:w="17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attachment button (photos/videos)</w:t>
            </w:r>
          </w:p>
        </w:tc>
      </w:tr>
    </w:tbl>
    <w:tbl>
      <w:tblPr>
        <w:tblW w:w="1863" w:type="dxa"/>
        <w:jc w:val="left"/>
        <w:tblInd w:w="0" w:type="dxa"/>
        <w:tblLayout w:type="fixed"/>
        <w:tblCellMar>
          <w:top w:w="0" w:type="dxa"/>
          <w:left w:w="0" w:type="dxa"/>
          <w:bottom w:w="0" w:type="dxa"/>
          <w:right w:w="0" w:type="dxa"/>
        </w:tblCellMar>
      </w:tblPr>
      <w:tblGrid>
        <w:gridCol w:w="38"/>
        <w:gridCol w:w="170"/>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Poll creation option</w:t>
            </w:r>
          </w:p>
        </w:tc>
      </w:tr>
    </w:tbl>
    <w:tbl>
      <w:tblPr>
        <w:tblW w:w="1653" w:type="dxa"/>
        <w:jc w:val="left"/>
        <w:tblInd w:w="0" w:type="dxa"/>
        <w:tblLayout w:type="fixed"/>
        <w:tblCellMar>
          <w:top w:w="0" w:type="dxa"/>
          <w:left w:w="0" w:type="dxa"/>
          <w:bottom w:w="0" w:type="dxa"/>
          <w:right w:w="0" w:type="dxa"/>
        </w:tblCellMar>
      </w:tblPr>
      <w:tblGrid>
        <w:gridCol w:w="38"/>
        <w:gridCol w:w="17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Location tagging</w:t>
            </w:r>
          </w:p>
        </w:tc>
      </w:tr>
    </w:tbl>
    <w:tbl>
      <w:tblPr>
        <w:tblW w:w="1278" w:type="dxa"/>
        <w:jc w:val="left"/>
        <w:tblInd w:w="0" w:type="dxa"/>
        <w:tblLayout w:type="fixed"/>
        <w:tblCellMar>
          <w:top w:w="0" w:type="dxa"/>
          <w:left w:w="0" w:type="dxa"/>
          <w:bottom w:w="0" w:type="dxa"/>
          <w:right w:w="0" w:type="dxa"/>
        </w:tblCellMar>
      </w:tblPr>
      <w:tblGrid>
        <w:gridCol w:w="38"/>
        <w:gridCol w:w="170"/>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tagging</w:t>
            </w:r>
          </w:p>
        </w:tc>
      </w:tr>
    </w:tbl>
    <w:tbl>
      <w:tblPr>
        <w:tblW w:w="1563" w:type="dxa"/>
        <w:jc w:val="left"/>
        <w:tblInd w:w="0" w:type="dxa"/>
        <w:tblLayout w:type="fixed"/>
        <w:tblCellMar>
          <w:top w:w="0" w:type="dxa"/>
          <w:left w:w="0" w:type="dxa"/>
          <w:bottom w:w="0" w:type="dxa"/>
          <w:right w:w="0" w:type="dxa"/>
        </w:tblCellMar>
      </w:tblPr>
      <w:tblGrid>
        <w:gridCol w:w="38"/>
        <w:gridCol w:w="17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Hashtag support</w:t>
            </w:r>
          </w:p>
        </w:tc>
      </w:tr>
    </w:tbl>
    <w:tbl>
      <w:tblPr>
        <w:tblW w:w="2058" w:type="dxa"/>
        <w:jc w:val="left"/>
        <w:tblInd w:w="0" w:type="dxa"/>
        <w:tblLayout w:type="fixed"/>
        <w:tblCellMar>
          <w:top w:w="0" w:type="dxa"/>
          <w:left w:w="0" w:type="dxa"/>
          <w:bottom w:w="0" w:type="dxa"/>
          <w:right w:w="0" w:type="dxa"/>
        </w:tblCellMar>
      </w:tblPr>
      <w:tblGrid>
        <w:gridCol w:w="38"/>
        <w:gridCol w:w="17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 visibility settings</w:t>
            </w:r>
          </w:p>
        </w:tc>
      </w:tr>
    </w:tbl>
    <w:p>
      <w:pPr>
        <w:pStyle w:val="TextBody"/>
        <w:bidi w:val="0"/>
        <w:spacing w:before="0" w:after="0"/>
        <w:ind w:left="287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773" w:type="dxa"/>
        <w:jc w:val="left"/>
        <w:tblInd w:w="0" w:type="dxa"/>
        <w:tblLayout w:type="fixed"/>
        <w:tblCellMar>
          <w:top w:w="0" w:type="dxa"/>
          <w:left w:w="0" w:type="dxa"/>
          <w:bottom w:w="0" w:type="dxa"/>
          <w:right w:w="0" w:type="dxa"/>
        </w:tblCellMar>
      </w:tblPr>
      <w:tblGrid>
        <w:gridCol w:w="38"/>
        <w:gridCol w:w="17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5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 Detail Screen</w:t>
            </w:r>
          </w:p>
        </w:tc>
      </w:tr>
    </w:tbl>
    <w:p>
      <w:pPr>
        <w:pStyle w:val="TextBody"/>
        <w:bidi w:val="0"/>
        <w:spacing w:before="0" w:after="0"/>
        <w:ind w:left="2158" w:right="0" w:hanging="0"/>
        <w:jc w:val="both"/>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170"/>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post content</w:t>
            </w:r>
          </w:p>
        </w:tc>
      </w:tr>
    </w:tbl>
    <w:tbl>
      <w:tblPr>
        <w:tblW w:w="2598" w:type="dxa"/>
        <w:jc w:val="left"/>
        <w:tblInd w:w="0" w:type="dxa"/>
        <w:tblLayout w:type="fixed"/>
        <w:tblCellMar>
          <w:top w:w="0" w:type="dxa"/>
          <w:left w:w="0" w:type="dxa"/>
          <w:bottom w:w="0" w:type="dxa"/>
          <w:right w:w="0" w:type="dxa"/>
        </w:tblCellMar>
      </w:tblPr>
      <w:tblGrid>
        <w:gridCol w:w="38"/>
        <w:gridCol w:w="17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 comment, share actions</w:t>
            </w:r>
          </w:p>
        </w:tc>
      </w:tr>
    </w:tbl>
    <w:tbl>
      <w:tblPr>
        <w:tblW w:w="1743" w:type="dxa"/>
        <w:jc w:val="left"/>
        <w:tblInd w:w="0" w:type="dxa"/>
        <w:tblLayout w:type="fixed"/>
        <w:tblCellMar>
          <w:top w:w="0" w:type="dxa"/>
          <w:left w:w="0" w:type="dxa"/>
          <w:bottom w:w="0" w:type="dxa"/>
          <w:right w:w="0" w:type="dxa"/>
        </w:tblCellMar>
      </w:tblPr>
      <w:tblGrid>
        <w:gridCol w:w="38"/>
        <w:gridCol w:w="17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Comments section</w:t>
            </w:r>
          </w:p>
        </w:tc>
      </w:tr>
    </w:tbl>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content</w:t>
            </w:r>
          </w:p>
        </w:tc>
      </w:tr>
    </w:tbl>
    <w:p>
      <w:pPr>
        <w:pStyle w:val="TextBody"/>
        <w:bidi w:val="0"/>
        <w:spacing w:before="0" w:after="0"/>
        <w:ind w:left="2879" w:right="0" w:hanging="0"/>
        <w:jc w:val="both"/>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17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5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Comment Section</w:t>
            </w:r>
          </w:p>
        </w:tc>
      </w:tr>
    </w:tbl>
    <w:p>
      <w:pPr>
        <w:pStyle w:val="TextBody"/>
        <w:bidi w:val="0"/>
        <w:spacing w:before="0" w:after="0"/>
        <w:ind w:left="2158" w:right="0" w:hanging="0"/>
        <w:jc w:val="both"/>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170"/>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 input field</w:t>
            </w:r>
          </w:p>
        </w:tc>
      </w:tr>
    </w:tbl>
    <w:tbl>
      <w:tblPr>
        <w:tblW w:w="2103" w:type="dxa"/>
        <w:jc w:val="left"/>
        <w:tblInd w:w="0" w:type="dxa"/>
        <w:tblLayout w:type="fixed"/>
        <w:tblCellMar>
          <w:top w:w="0" w:type="dxa"/>
          <w:left w:w="0" w:type="dxa"/>
          <w:bottom w:w="0" w:type="dxa"/>
          <w:right w:w="0" w:type="dxa"/>
        </w:tblCellMar>
      </w:tblPr>
      <w:tblGrid>
        <w:gridCol w:w="38"/>
        <w:gridCol w:w="17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comments list</w:t>
            </w:r>
          </w:p>
        </w:tc>
      </w:tr>
    </w:tbl>
    <w:tbl>
      <w:tblPr>
        <w:tblW w:w="1848" w:type="dxa"/>
        <w:jc w:val="left"/>
        <w:tblInd w:w="0" w:type="dxa"/>
        <w:tblLayout w:type="fixed"/>
        <w:tblCellMar>
          <w:top w:w="0" w:type="dxa"/>
          <w:left w:w="0" w:type="dxa"/>
          <w:bottom w:w="0" w:type="dxa"/>
          <w:right w:w="0" w:type="dxa"/>
        </w:tblCellMar>
      </w:tblPr>
      <w:tblGrid>
        <w:gridCol w:w="38"/>
        <w:gridCol w:w="17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Reply functionality</w:t>
            </w:r>
          </w:p>
        </w:tc>
      </w:tr>
    </w:tbl>
    <w:tbl>
      <w:tblPr>
        <w:tblW w:w="2073" w:type="dxa"/>
        <w:jc w:val="left"/>
        <w:tblInd w:w="0" w:type="dxa"/>
        <w:tblLayout w:type="fixed"/>
        <w:tblCellMar>
          <w:top w:w="0" w:type="dxa"/>
          <w:left w:w="0" w:type="dxa"/>
          <w:bottom w:w="0" w:type="dxa"/>
          <w:right w:w="0" w:type="dxa"/>
        </w:tblCellMar>
      </w:tblPr>
      <w:tblGrid>
        <w:gridCol w:w="38"/>
        <w:gridCol w:w="17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 comments option</w:t>
            </w:r>
          </w:p>
        </w:tc>
      </w:tr>
    </w:tbl>
    <w:tbl>
      <w:tblPr>
        <w:tblW w:w="2313" w:type="dxa"/>
        <w:jc w:val="left"/>
        <w:tblInd w:w="0" w:type="dxa"/>
        <w:tblLayout w:type="fixed"/>
        <w:tblCellMar>
          <w:top w:w="0" w:type="dxa"/>
          <w:left w:w="0" w:type="dxa"/>
          <w:bottom w:w="0" w:type="dxa"/>
          <w:right w:w="0" w:type="dxa"/>
        </w:tblCellMar>
      </w:tblPr>
      <w:tblGrid>
        <w:gridCol w:w="38"/>
        <w:gridCol w:w="17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 sorting options</w:t>
            </w:r>
          </w:p>
        </w:tc>
      </w:tr>
    </w:tbl>
    <w:p>
      <w:pPr>
        <w:pStyle w:val="TextBody"/>
        <w:bidi w:val="0"/>
        <w:spacing w:before="0" w:after="0"/>
        <w:ind w:left="2879" w:right="0" w:hanging="0"/>
        <w:jc w:val="both"/>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38"/>
        <w:gridCol w:w="17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3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Poll Interaction</w:t>
            </w:r>
          </w:p>
        </w:tc>
      </w:tr>
    </w:tbl>
    <w:p>
      <w:pPr>
        <w:pStyle w:val="TextBody"/>
        <w:bidi w:val="0"/>
        <w:spacing w:before="0" w:after="0"/>
        <w:ind w:left="2158" w:right="0" w:hanging="0"/>
        <w:jc w:val="both"/>
        <w:rPr>
          <w:caps w:val="false"/>
          <w:smallCaps w:val="false"/>
        </w:rPr>
      </w:pPr>
      <w:r>
        <w:rPr>
          <w:caps w:val="false"/>
          <w:smallCaps w:val="false"/>
        </w:rPr>
        <w:t> </w:t>
      </w:r>
    </w:p>
    <w:tbl>
      <w:tblPr>
        <w:tblW w:w="1998" w:type="dxa"/>
        <w:jc w:val="left"/>
        <w:tblInd w:w="0" w:type="dxa"/>
        <w:tblLayout w:type="fixed"/>
        <w:tblCellMar>
          <w:top w:w="0" w:type="dxa"/>
          <w:left w:w="0" w:type="dxa"/>
          <w:bottom w:w="0" w:type="dxa"/>
          <w:right w:w="0" w:type="dxa"/>
        </w:tblCellMar>
      </w:tblPr>
      <w:tblGrid>
        <w:gridCol w:w="38"/>
        <w:gridCol w:w="17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 option selection</w:t>
            </w:r>
          </w:p>
        </w:tc>
      </w:tr>
    </w:tbl>
    <w:tbl>
      <w:tblPr>
        <w:tblW w:w="2253" w:type="dxa"/>
        <w:jc w:val="left"/>
        <w:tblInd w:w="0" w:type="dxa"/>
        <w:tblLayout w:type="fixed"/>
        <w:tblCellMar>
          <w:top w:w="0" w:type="dxa"/>
          <w:left w:w="0" w:type="dxa"/>
          <w:bottom w:w="0" w:type="dxa"/>
          <w:right w:w="0" w:type="dxa"/>
        </w:tblCellMar>
      </w:tblPr>
      <w:tblGrid>
        <w:gridCol w:w="38"/>
        <w:gridCol w:w="17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Real-time results display</w:t>
            </w:r>
          </w:p>
        </w:tc>
      </w:tr>
    </w:tbl>
    <w:tbl>
      <w:tblPr>
        <w:tblW w:w="2073" w:type="dxa"/>
        <w:jc w:val="left"/>
        <w:tblInd w:w="0" w:type="dxa"/>
        <w:tblLayout w:type="fixed"/>
        <w:tblCellMar>
          <w:top w:w="0" w:type="dxa"/>
          <w:left w:w="0" w:type="dxa"/>
          <w:bottom w:w="0" w:type="dxa"/>
          <w:right w:w="0" w:type="dxa"/>
        </w:tblCellMar>
      </w:tblPr>
      <w:tblGrid>
        <w:gridCol w:w="38"/>
        <w:gridCol w:w="17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countdown</w:t>
            </w:r>
          </w:p>
        </w:tc>
      </w:tr>
    </w:tbl>
    <w:p>
      <w:pPr>
        <w:pStyle w:val="TextBody"/>
        <w:bidi w:val="0"/>
        <w:spacing w:before="0" w:after="0"/>
        <w:ind w:left="287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Interaction Flows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170"/>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Creating a post</w:t>
            </w:r>
            <w:r>
              <w:rPr>
                <w:rFonts w:ascii="Times New Roman;Times;Serif" w:hAnsi="Times New Roman;Times;Serif"/>
                <w:b w:val="false"/>
                <w:i w:val="false"/>
                <w:caps w:val="false"/>
                <w:smallCaps w:val="false"/>
                <w:sz w:val="20"/>
              </w:rPr>
              <w:t>:</w:t>
            </w:r>
          </w:p>
        </w:tc>
      </w:tr>
    </w:tbl>
    <w:p>
      <w:pPr>
        <w:pStyle w:val="TextBody"/>
        <w:bidi w:val="0"/>
        <w:spacing w:before="0" w:after="0"/>
        <w:ind w:left="2158" w:right="0" w:hanging="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 “New Post” → Enter text → Add media (optional) → Add location/tags (optional) → Post</w:t>
            </w:r>
          </w:p>
        </w:tc>
      </w:tr>
    </w:tbl>
    <w:p>
      <w:pPr>
        <w:pStyle w:val="TextBody"/>
        <w:bidi w:val="0"/>
        <w:spacing w:before="0" w:after="0"/>
        <w:ind w:left="2880" w:right="0" w:hanging="360"/>
        <w:jc w:val="both"/>
        <w:rPr>
          <w:caps w:val="false"/>
          <w:smallCaps w:val="false"/>
        </w:rPr>
      </w:pPr>
      <w:r>
        <w:rPr>
          <w:caps w:val="false"/>
          <w:smallCaps w:val="false"/>
        </w:rPr>
        <w:t> </w:t>
      </w:r>
    </w:p>
    <w:tbl>
      <w:tblPr>
        <w:tblW w:w="2193" w:type="dxa"/>
        <w:jc w:val="left"/>
        <w:tblInd w:w="0" w:type="dxa"/>
        <w:tblLayout w:type="fixed"/>
        <w:tblCellMar>
          <w:top w:w="0" w:type="dxa"/>
          <w:left w:w="0" w:type="dxa"/>
          <w:bottom w:w="0" w:type="dxa"/>
          <w:right w:w="0" w:type="dxa"/>
        </w:tblCellMar>
      </w:tblPr>
      <w:tblGrid>
        <w:gridCol w:w="38"/>
        <w:gridCol w:w="17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9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Commenting on a post:</w:t>
            </w:r>
          </w:p>
        </w:tc>
      </w:tr>
    </w:tbl>
    <w:p>
      <w:pPr>
        <w:pStyle w:val="TextBody"/>
        <w:bidi w:val="0"/>
        <w:spacing w:before="0" w:after="0"/>
        <w:ind w:left="2158" w:right="0" w:hanging="0"/>
        <w:jc w:val="both"/>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38"/>
        <w:gridCol w:w="17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 comment icon → View existing comments → Enter comment → Post comment</w:t>
            </w:r>
          </w:p>
        </w:tc>
      </w:tr>
    </w:tbl>
    <w:p>
      <w:pPr>
        <w:pStyle w:val="TextBody"/>
        <w:bidi w:val="0"/>
        <w:spacing w:before="0" w:after="0"/>
        <w:ind w:left="2880" w:right="0" w:hanging="360"/>
        <w:jc w:val="both"/>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17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9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Replying to comments:</w:t>
            </w:r>
          </w:p>
        </w:tc>
      </w:tr>
    </w:tbl>
    <w:p>
      <w:pPr>
        <w:pStyle w:val="TextBody"/>
        <w:bidi w:val="0"/>
        <w:spacing w:before="0" w:after="0"/>
        <w:ind w:left="2158" w:right="0" w:hanging="0"/>
        <w:jc w:val="both"/>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38"/>
        <w:gridCol w:w="17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 reply on a comment → Enter reply → Post reply</w:t>
            </w:r>
          </w:p>
        </w:tc>
      </w:tr>
    </w:tbl>
    <w:p>
      <w:pPr>
        <w:pStyle w:val="TextBody"/>
        <w:bidi w:val="0"/>
        <w:spacing w:before="0" w:after="0"/>
        <w:ind w:left="2879" w:right="0" w:hanging="0"/>
        <w:jc w:val="both"/>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38"/>
        <w:gridCol w:w="17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7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Creating a poll post:</w:t>
            </w:r>
          </w:p>
        </w:tc>
      </w:tr>
    </w:tbl>
    <w:p>
      <w:pPr>
        <w:pStyle w:val="TextBody"/>
        <w:bidi w:val="0"/>
        <w:spacing w:before="0" w:after="0"/>
        <w:ind w:left="2158" w:right="0" w:hanging="0"/>
        <w:jc w:val="both"/>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38"/>
        <w:gridCol w:w="17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 poll option during post creation → Add question → Add options (2-4) → Set duration → Post</w:t>
            </w:r>
          </w:p>
        </w:tc>
      </w:tr>
    </w:tbl>
    <w:p>
      <w:pPr>
        <w:pStyle w:val="TextBody"/>
        <w:bidi w:val="0"/>
        <w:spacing w:before="0" w:after="0"/>
        <w:ind w:left="2880" w:right="0" w:hanging="360"/>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290"/>
        <w:gridCol w:w="113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w:t>
            </w:r>
          </w:p>
        </w:tc>
        <w:tc>
          <w:tcPr>
            <w:tcW w:w="11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User Profiles</w:t>
            </w:r>
          </w:p>
        </w:tc>
      </w:tr>
    </w:tbl>
    <w:p>
      <w:pPr>
        <w:pStyle w:val="TextBody"/>
        <w:bidi w:val="0"/>
        <w:spacing w:before="0" w:after="0"/>
        <w:ind w:left="187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Display user information, activity, and enable social connections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User Story</w:t>
      </w:r>
      <w:r>
        <w:rPr>
          <w:rFonts w:ascii="Times New Roman;Times;Serif" w:hAnsi="Times New Roman;Times;Serif"/>
          <w:b w:val="false"/>
          <w:i w:val="false"/>
          <w:caps w:val="false"/>
          <w:smallCaps w:val="false"/>
          <w:sz w:val="20"/>
        </w:rPr>
        <w:t>: As a user, I want to view profiles to learn more about other users and manage my own profile information.</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Features &amp; Components :</w:t>
      </w:r>
    </w:p>
    <w:p>
      <w:pPr>
        <w:pStyle w:val="TextBody"/>
        <w:bidi w:val="0"/>
        <w:spacing w:before="0" w:after="0"/>
        <w:jc w:val="both"/>
        <w:rPr>
          <w:caps w:val="false"/>
          <w:smallCaps w:val="false"/>
        </w:rPr>
      </w:pPr>
      <w:r>
        <w:rPr>
          <w:caps w:val="false"/>
          <w:smallCaps w:val="false"/>
        </w:rPr>
        <w:t> </w:t>
      </w:r>
    </w:p>
    <w:tbl>
      <w:tblPr>
        <w:tblW w:w="1503" w:type="dxa"/>
        <w:jc w:val="left"/>
        <w:tblInd w:w="0" w:type="dxa"/>
        <w:tblLayout w:type="fixed"/>
        <w:tblCellMar>
          <w:top w:w="0" w:type="dxa"/>
          <w:left w:w="0" w:type="dxa"/>
          <w:bottom w:w="0" w:type="dxa"/>
          <w:right w:w="0" w:type="dxa"/>
        </w:tblCellMar>
      </w:tblPr>
      <w:tblGrid>
        <w:gridCol w:w="38"/>
        <w:gridCol w:w="170"/>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2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Profile Header</w:t>
            </w:r>
          </w:p>
        </w:tc>
      </w:tr>
    </w:tbl>
    <w:p>
      <w:pPr>
        <w:pStyle w:val="TextBody"/>
        <w:bidi w:val="0"/>
        <w:spacing w:before="0" w:after="0"/>
        <w:ind w:left="2158" w:right="0" w:hanging="0"/>
        <w:jc w:val="both"/>
        <w:rPr>
          <w:caps w:val="false"/>
          <w:smallCaps w:val="false"/>
        </w:rPr>
      </w:pPr>
      <w:r>
        <w:rPr>
          <w:caps w:val="false"/>
          <w:smallCaps w:val="false"/>
        </w:rPr>
        <w:t> </w:t>
      </w:r>
    </w:p>
    <w:tbl>
      <w:tblPr>
        <w:tblW w:w="1953" w:type="dxa"/>
        <w:jc w:val="left"/>
        <w:tblInd w:w="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Profile picture/avatar</w:t>
            </w:r>
          </w:p>
        </w:tc>
      </w:tr>
    </w:tbl>
    <w:tbl>
      <w:tblPr>
        <w:tblW w:w="1263" w:type="dxa"/>
        <w:jc w:val="left"/>
        <w:tblInd w:w="0" w:type="dxa"/>
        <w:tblLayout w:type="fixed"/>
        <w:tblCellMar>
          <w:top w:w="0" w:type="dxa"/>
          <w:left w:w="0" w:type="dxa"/>
          <w:bottom w:w="0" w:type="dxa"/>
          <w:right w:w="0" w:type="dxa"/>
        </w:tblCellMar>
      </w:tblPr>
      <w:tblGrid>
        <w:gridCol w:w="38"/>
        <w:gridCol w:w="170"/>
        <w:gridCol w:w="1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photo</w:t>
            </w:r>
          </w:p>
        </w:tc>
      </w:tr>
    </w:tbl>
    <w:tbl>
      <w:tblPr>
        <w:tblW w:w="2508" w:type="dxa"/>
        <w:jc w:val="left"/>
        <w:tblInd w:w="0" w:type="dxa"/>
        <w:tblLayout w:type="fixed"/>
        <w:tblCellMar>
          <w:top w:w="0" w:type="dxa"/>
          <w:left w:w="0" w:type="dxa"/>
          <w:bottom w:w="0" w:type="dxa"/>
          <w:right w:w="0" w:type="dxa"/>
        </w:tblCellMar>
      </w:tblPr>
      <w:tblGrid>
        <w:gridCol w:w="38"/>
        <w:gridCol w:w="17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Username and display name</w:t>
            </w:r>
          </w:p>
        </w:tc>
      </w:tr>
    </w:tbl>
    <w:tbl>
      <w:tblPr>
        <w:tblW w:w="1743" w:type="dxa"/>
        <w:jc w:val="left"/>
        <w:tblInd w:w="0" w:type="dxa"/>
        <w:tblLayout w:type="fixed"/>
        <w:tblCellMar>
          <w:top w:w="0" w:type="dxa"/>
          <w:left w:w="0" w:type="dxa"/>
          <w:bottom w:w="0" w:type="dxa"/>
          <w:right w:w="0" w:type="dxa"/>
        </w:tblCellMar>
      </w:tblPr>
      <w:tblGrid>
        <w:gridCol w:w="38"/>
        <w:gridCol w:w="17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Bio/About section</w:t>
            </w:r>
          </w:p>
        </w:tc>
      </w:tr>
    </w:tbl>
    <w:tbl>
      <w:tblPr>
        <w:tblW w:w="2448" w:type="dxa"/>
        <w:jc w:val="left"/>
        <w:tblInd w:w="0" w:type="dxa"/>
        <w:tblLayout w:type="fixed"/>
        <w:tblCellMar>
          <w:top w:w="0" w:type="dxa"/>
          <w:left w:w="0" w:type="dxa"/>
          <w:bottom w:w="0" w:type="dxa"/>
          <w:right w:w="0" w:type="dxa"/>
        </w:tblCellMar>
      </w:tblPr>
      <w:tblGrid>
        <w:gridCol w:w="38"/>
        <w:gridCol w:w="17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Follower/Following counts</w:t>
            </w:r>
          </w:p>
        </w:tc>
      </w:tr>
    </w:tbl>
    <w:tbl>
      <w:tblPr>
        <w:tblW w:w="2958" w:type="dxa"/>
        <w:jc w:val="left"/>
        <w:tblInd w:w="0" w:type="dxa"/>
        <w:tblLayout w:type="fixed"/>
        <w:tblCellMar>
          <w:top w:w="0" w:type="dxa"/>
          <w:left w:w="0" w:type="dxa"/>
          <w:bottom w:w="0" w:type="dxa"/>
          <w:right w:w="0" w:type="dxa"/>
        </w:tblCellMar>
      </w:tblPr>
      <w:tblGrid>
        <w:gridCol w:w="38"/>
        <w:gridCol w:w="17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 buttons (Follow/Message)</w:t>
            </w:r>
          </w:p>
        </w:tc>
      </w:tr>
    </w:tbl>
    <w:p>
      <w:pPr>
        <w:pStyle w:val="TextBody"/>
        <w:bidi w:val="0"/>
        <w:spacing w:before="0" w:after="0"/>
        <w:ind w:left="2879" w:right="0" w:hanging="0"/>
        <w:jc w:val="both"/>
        <w:rPr>
          <w:caps w:val="false"/>
          <w:smallCaps w:val="false"/>
        </w:rPr>
      </w:pPr>
      <w:r>
        <w:rPr>
          <w:caps w:val="false"/>
          <w:smallCaps w:val="false"/>
        </w:rPr>
        <w:t> </w:t>
      </w:r>
    </w:p>
    <w:tbl>
      <w:tblPr>
        <w:tblW w:w="1998" w:type="dxa"/>
        <w:jc w:val="left"/>
        <w:tblInd w:w="0" w:type="dxa"/>
        <w:tblLayout w:type="fixed"/>
        <w:tblCellMar>
          <w:top w:w="0" w:type="dxa"/>
          <w:left w:w="0" w:type="dxa"/>
          <w:bottom w:w="0" w:type="dxa"/>
          <w:right w:w="0" w:type="dxa"/>
        </w:tblCellMar>
      </w:tblPr>
      <w:tblGrid>
        <w:gridCol w:w="38"/>
        <w:gridCol w:w="17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7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Profile Content Tabs</w:t>
            </w:r>
          </w:p>
        </w:tc>
      </w:tr>
    </w:tbl>
    <w:p>
      <w:pPr>
        <w:pStyle w:val="TextBody"/>
        <w:bidi w:val="0"/>
        <w:spacing w:before="0" w:after="0"/>
        <w:ind w:left="2158" w:right="0" w:hanging="0"/>
        <w:jc w:val="both"/>
        <w:rPr>
          <w:caps w:val="false"/>
          <w:smallCaps w:val="false"/>
        </w:rPr>
      </w:pPr>
      <w:r>
        <w:rPr>
          <w:caps w:val="false"/>
          <w:smallCaps w:val="false"/>
        </w:rPr>
        <w:t> </w:t>
      </w:r>
    </w:p>
    <w:tbl>
      <w:tblPr>
        <w:tblW w:w="2583" w:type="dxa"/>
        <w:jc w:val="left"/>
        <w:tblInd w:w="0" w:type="dxa"/>
        <w:tblLayout w:type="fixed"/>
        <w:tblCellMar>
          <w:top w:w="0" w:type="dxa"/>
          <w:left w:w="0" w:type="dxa"/>
          <w:bottom w:w="0" w:type="dxa"/>
          <w:right w:w="0" w:type="dxa"/>
        </w:tblCellMar>
      </w:tblPr>
      <w:tblGrid>
        <w:gridCol w:w="38"/>
        <w:gridCol w:w="170"/>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 (user’s created content)</w:t>
            </w:r>
          </w:p>
        </w:tc>
      </w:tr>
    </w:tbl>
    <w:tbl>
      <w:tblPr>
        <w:tblW w:w="2418" w:type="dxa"/>
        <w:jc w:val="left"/>
        <w:tblInd w:w="0" w:type="dxa"/>
        <w:tblLayout w:type="fixed"/>
        <w:tblCellMar>
          <w:top w:w="0" w:type="dxa"/>
          <w:left w:w="0" w:type="dxa"/>
          <w:bottom w:w="0" w:type="dxa"/>
          <w:right w:w="0" w:type="dxa"/>
        </w:tblCellMar>
      </w:tblPr>
      <w:tblGrid>
        <w:gridCol w:w="38"/>
        <w:gridCol w:w="17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(photos and videos)</w:t>
            </w:r>
          </w:p>
        </w:tc>
      </w:tr>
    </w:tbl>
    <w:tbl>
      <w:tblPr>
        <w:tblW w:w="2958" w:type="dxa"/>
        <w:jc w:val="left"/>
        <w:tblInd w:w="0" w:type="dxa"/>
        <w:tblLayout w:type="fixed"/>
        <w:tblCellMar>
          <w:top w:w="0" w:type="dxa"/>
          <w:left w:w="0" w:type="dxa"/>
          <w:bottom w:w="0" w:type="dxa"/>
          <w:right w:w="0" w:type="dxa"/>
        </w:tblCellMar>
      </w:tblPr>
      <w:tblGrid>
        <w:gridCol w:w="38"/>
        <w:gridCol w:w="17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Liked (content the user has liked)</w:t>
            </w:r>
          </w:p>
        </w:tc>
      </w:tr>
    </w:tbl>
    <w:p>
      <w:pPr>
        <w:pStyle w:val="TextBody"/>
        <w:bidi w:val="0"/>
        <w:spacing w:before="0" w:after="0"/>
        <w:ind w:left="2879" w:right="0" w:hanging="0"/>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3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Profile Settings</w:t>
            </w:r>
          </w:p>
        </w:tc>
      </w:tr>
    </w:tbl>
    <w:p>
      <w:pPr>
        <w:pStyle w:val="TextBody"/>
        <w:bidi w:val="0"/>
        <w:spacing w:before="0" w:after="0"/>
        <w:ind w:left="2158" w:right="0" w:hanging="0"/>
        <w:jc w:val="both"/>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17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Edit profile information</w:t>
            </w:r>
          </w:p>
        </w:tc>
      </w:tr>
    </w:tbl>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settings</w:t>
            </w:r>
          </w:p>
        </w:tc>
      </w:tr>
    </w:tbl>
    <w:tbl>
      <w:tblPr>
        <w:tblW w:w="2193" w:type="dxa"/>
        <w:jc w:val="left"/>
        <w:tblInd w:w="0" w:type="dxa"/>
        <w:tblLayout w:type="fixed"/>
        <w:tblCellMar>
          <w:top w:w="0" w:type="dxa"/>
          <w:left w:w="0" w:type="dxa"/>
          <w:bottom w:w="0" w:type="dxa"/>
          <w:right w:w="0" w:type="dxa"/>
        </w:tblCellMar>
      </w:tblPr>
      <w:tblGrid>
        <w:gridCol w:w="38"/>
        <w:gridCol w:w="17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preferences</w:t>
            </w:r>
          </w:p>
        </w:tc>
      </w:tr>
    </w:tbl>
    <w:tbl>
      <w:tblPr>
        <w:tblW w:w="2778" w:type="dxa"/>
        <w:jc w:val="left"/>
        <w:tblInd w:w="0" w:type="dxa"/>
        <w:tblLayout w:type="fixed"/>
        <w:tblCellMar>
          <w:top w:w="0" w:type="dxa"/>
          <w:left w:w="0" w:type="dxa"/>
          <w:bottom w:w="0" w:type="dxa"/>
          <w:right w:w="0" w:type="dxa"/>
        </w:tblCellMar>
      </w:tblPr>
      <w:tblGrid>
        <w:gridCol w:w="38"/>
        <w:gridCol w:w="17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Blocked accounts management</w:t>
            </w:r>
          </w:p>
        </w:tc>
      </w:tr>
    </w:tbl>
    <w:p>
      <w:pPr>
        <w:pStyle w:val="TextBody"/>
        <w:bidi w:val="0"/>
        <w:spacing w:before="0" w:after="0"/>
        <w:ind w:left="2879" w:right="0" w:hanging="0"/>
        <w:jc w:val="both"/>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17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2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Profile Badges/Indicators</w:t>
            </w:r>
          </w:p>
        </w:tc>
      </w:tr>
    </w:tbl>
    <w:p>
      <w:pPr>
        <w:pStyle w:val="TextBody"/>
        <w:bidi w:val="0"/>
        <w:spacing w:before="0" w:after="0"/>
        <w:ind w:left="2158" w:right="0" w:hanging="0"/>
        <w:jc w:val="both"/>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38"/>
        <w:gridCol w:w="170"/>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Verification badge</w:t>
            </w:r>
          </w:p>
        </w:tc>
      </w:tr>
    </w:tbl>
    <w:tbl>
      <w:tblPr>
        <w:tblW w:w="1488" w:type="dxa"/>
        <w:jc w:val="left"/>
        <w:tblInd w:w="0" w:type="dxa"/>
        <w:tblLayout w:type="fixed"/>
        <w:tblCellMar>
          <w:top w:w="0" w:type="dxa"/>
          <w:left w:w="0" w:type="dxa"/>
          <w:bottom w:w="0" w:type="dxa"/>
          <w:right w:w="0" w:type="dxa"/>
        </w:tblCellMar>
      </w:tblPr>
      <w:tblGrid>
        <w:gridCol w:w="38"/>
        <w:gridCol w:w="170"/>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indicator</w:t>
            </w:r>
          </w:p>
        </w:tc>
      </w:tr>
    </w:tbl>
    <w:tbl>
      <w:tblPr>
        <w:tblW w:w="1998" w:type="dxa"/>
        <w:jc w:val="left"/>
        <w:tblInd w:w="0" w:type="dxa"/>
        <w:tblLayout w:type="fixed"/>
        <w:tblCellMar>
          <w:top w:w="0" w:type="dxa"/>
          <w:left w:w="0" w:type="dxa"/>
          <w:bottom w:w="0" w:type="dxa"/>
          <w:right w:w="0" w:type="dxa"/>
        </w:tblCellMar>
      </w:tblPr>
      <w:tblGrid>
        <w:gridCol w:w="38"/>
        <w:gridCol w:w="17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achievements</w:t>
            </w:r>
          </w:p>
        </w:tc>
      </w:tr>
    </w:tbl>
    <w:p>
      <w:pPr>
        <w:pStyle w:val="TextBody"/>
        <w:bidi w:val="0"/>
        <w:spacing w:before="0" w:after="0"/>
        <w:ind w:left="287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Interaction Flows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38"/>
        <w:gridCol w:w="170"/>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Viewing a profile</w:t>
            </w:r>
            <w:r>
              <w:rPr>
                <w:rFonts w:ascii="Times New Roman;Times;Serif" w:hAnsi="Times New Roman;Times;Serif"/>
                <w:b w:val="false"/>
                <w:i w:val="false"/>
                <w:caps w:val="false"/>
                <w:smallCaps w:val="false"/>
                <w:sz w:val="20"/>
              </w:rPr>
              <w:t>:</w:t>
            </w:r>
          </w:p>
        </w:tc>
      </w:tr>
    </w:tbl>
    <w:p>
      <w:pPr>
        <w:pStyle w:val="TextBody"/>
        <w:bidi w:val="0"/>
        <w:spacing w:before="0" w:after="0"/>
        <w:ind w:left="2158" w:right="0" w:hanging="0"/>
        <w:jc w:val="both"/>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38"/>
        <w:gridCol w:w="17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 username or avatar anywhere in the app → View profile → Scroll through content tabs</w:t>
            </w:r>
          </w:p>
        </w:tc>
      </w:tr>
    </w:tbl>
    <w:p>
      <w:pPr>
        <w:pStyle w:val="TextBody"/>
        <w:bidi w:val="0"/>
        <w:spacing w:before="0" w:after="0"/>
        <w:ind w:left="2880" w:right="0" w:hanging="360"/>
        <w:jc w:val="both"/>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5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Following a user:</w:t>
            </w:r>
          </w:p>
        </w:tc>
      </w:tr>
    </w:tbl>
    <w:p>
      <w:pPr>
        <w:pStyle w:val="TextBody"/>
        <w:bidi w:val="0"/>
        <w:spacing w:before="0" w:after="0"/>
        <w:ind w:left="2158" w:right="0" w:hanging="0"/>
        <w:jc w:val="both"/>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Visit profile → Tap Follow button → Button changes to Following</w:t>
            </w:r>
          </w:p>
        </w:tc>
      </w:tr>
    </w:tbl>
    <w:p>
      <w:pPr>
        <w:pStyle w:val="TextBody"/>
        <w:bidi w:val="0"/>
        <w:spacing w:before="0" w:after="0"/>
        <w:ind w:left="2879" w:right="0" w:hanging="0"/>
        <w:jc w:val="both"/>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170"/>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7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Editing own profile:</w:t>
            </w:r>
          </w:p>
        </w:tc>
      </w:tr>
    </w:tbl>
    <w:p>
      <w:pPr>
        <w:pStyle w:val="TextBody"/>
        <w:bidi w:val="0"/>
        <w:spacing w:before="0" w:after="0"/>
        <w:ind w:left="2158" w:right="0" w:hanging="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17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Navigate to own profile → Tap Edit Profile → Modify details → Save changes</w:t>
            </w:r>
          </w:p>
        </w:tc>
      </w:tr>
    </w:tbl>
    <w:p>
      <w:pPr>
        <w:pStyle w:val="TextBody"/>
        <w:bidi w:val="0"/>
        <w:spacing w:before="0" w:after="0"/>
        <w:ind w:left="2879" w:right="0" w:hanging="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290"/>
        <w:gridCol w:w="234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w:t>
            </w:r>
          </w:p>
        </w:tc>
        <w:tc>
          <w:tcPr>
            <w:tcW w:w="23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Hubs (Community Forums)</w:t>
            </w:r>
          </w:p>
        </w:tc>
      </w:tr>
    </w:tbl>
    <w:p>
      <w:pPr>
        <w:pStyle w:val="TextBody"/>
        <w:bidi w:val="0"/>
        <w:spacing w:before="0" w:after="0"/>
        <w:ind w:left="187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Provide topic-focused community spaces for discussion and content sharing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User Story</w:t>
      </w:r>
      <w:r>
        <w:rPr>
          <w:rFonts w:ascii="Times New Roman;Times;Serif" w:hAnsi="Times New Roman;Times;Serif"/>
          <w:b w:val="false"/>
          <w:i w:val="false"/>
          <w:caps w:val="false"/>
          <w:smallCaps w:val="false"/>
          <w:sz w:val="20"/>
        </w:rPr>
        <w:t>: As a user, I want to join communities focused on specific teams, leagues, or football topics to engage with like-minded fans.</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Features &amp; Components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193" w:type="dxa"/>
        <w:jc w:val="left"/>
        <w:tblInd w:w="0" w:type="dxa"/>
        <w:tblLayout w:type="fixed"/>
        <w:tblCellMar>
          <w:top w:w="0" w:type="dxa"/>
          <w:left w:w="0" w:type="dxa"/>
          <w:bottom w:w="0" w:type="dxa"/>
          <w:right w:w="0" w:type="dxa"/>
        </w:tblCellMar>
      </w:tblPr>
      <w:tblGrid>
        <w:gridCol w:w="38"/>
        <w:gridCol w:w="17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9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Hubs Discovery Screen</w:t>
            </w:r>
          </w:p>
        </w:tc>
      </w:tr>
    </w:tbl>
    <w:p>
      <w:pPr>
        <w:pStyle w:val="TextBody"/>
        <w:bidi w:val="0"/>
        <w:spacing w:before="0" w:after="0"/>
        <w:ind w:left="2158" w:right="0" w:hanging="0"/>
        <w:jc w:val="both"/>
        <w:rPr>
          <w:caps w:val="false"/>
          <w:smallCaps w:val="false"/>
        </w:rPr>
      </w:pPr>
      <w:r>
        <w:rPr>
          <w:caps w:val="false"/>
          <w:smallCaps w:val="false"/>
        </w:rPr>
        <w:t> </w:t>
      </w:r>
    </w:p>
    <w:tbl>
      <w:tblPr>
        <w:tblW w:w="1383" w:type="dxa"/>
        <w:jc w:val="left"/>
        <w:tblInd w:w="0" w:type="dxa"/>
        <w:tblLayout w:type="fixed"/>
        <w:tblCellMar>
          <w:top w:w="0" w:type="dxa"/>
          <w:left w:w="0" w:type="dxa"/>
          <w:bottom w:w="0" w:type="dxa"/>
          <w:right w:w="0" w:type="dxa"/>
        </w:tblCellMar>
      </w:tblPr>
      <w:tblGrid>
        <w:gridCol w:w="38"/>
        <w:gridCol w:w="170"/>
        <w:gridCol w:w="1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Featured hubs</w:t>
            </w:r>
          </w:p>
        </w:tc>
      </w:tr>
    </w:tbl>
    <w:tbl>
      <w:tblPr>
        <w:tblW w:w="3183" w:type="dxa"/>
        <w:jc w:val="left"/>
        <w:tblInd w:w="0" w:type="dxa"/>
        <w:tblLayout w:type="fixed"/>
        <w:tblCellMar>
          <w:top w:w="0" w:type="dxa"/>
          <w:left w:w="0" w:type="dxa"/>
          <w:bottom w:w="0" w:type="dxa"/>
          <w:right w:w="0" w:type="dxa"/>
        </w:tblCellMar>
      </w:tblPr>
      <w:tblGrid>
        <w:gridCol w:w="38"/>
        <w:gridCol w:w="17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Recommended based on preferences</w:t>
            </w:r>
          </w:p>
        </w:tc>
      </w:tr>
    </w:tbl>
    <w:tbl>
      <w:tblPr>
        <w:tblW w:w="3213" w:type="dxa"/>
        <w:jc w:val="left"/>
        <w:tblInd w:w="0" w:type="dxa"/>
        <w:tblLayout w:type="fixed"/>
        <w:tblCellMar>
          <w:top w:w="0" w:type="dxa"/>
          <w:left w:w="0" w:type="dxa"/>
          <w:bottom w:w="0" w:type="dxa"/>
          <w:right w:w="0" w:type="dxa"/>
        </w:tblCellMar>
      </w:tblPr>
      <w:tblGrid>
        <w:gridCol w:w="38"/>
        <w:gridCol w:w="170"/>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Categories (Teams, Leagues, Topics)</w:t>
            </w:r>
          </w:p>
        </w:tc>
      </w:tr>
    </w:tbl>
    <w:tbl>
      <w:tblPr>
        <w:tblW w:w="1893" w:type="dxa"/>
        <w:jc w:val="left"/>
        <w:tblInd w:w="0" w:type="dxa"/>
        <w:tblLayout w:type="fixed"/>
        <w:tblCellMar>
          <w:top w:w="0" w:type="dxa"/>
          <w:left w:w="0" w:type="dxa"/>
          <w:bottom w:w="0" w:type="dxa"/>
          <w:right w:w="0" w:type="dxa"/>
        </w:tblCellMar>
      </w:tblPr>
      <w:tblGrid>
        <w:gridCol w:w="38"/>
        <w:gridCol w:w="17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Search functionality</w:t>
            </w:r>
          </w:p>
        </w:tc>
      </w:tr>
    </w:tbl>
    <w:p>
      <w:pPr>
        <w:pStyle w:val="TextBody"/>
        <w:bidi w:val="0"/>
        <w:spacing w:before="0" w:after="0"/>
        <w:ind w:left="2879" w:right="0" w:hanging="0"/>
        <w:jc w:val="both"/>
        <w:rPr>
          <w:caps w:val="false"/>
          <w:smallCaps w:val="false"/>
        </w:rPr>
      </w:pPr>
      <w:r>
        <w:rPr>
          <w:caps w:val="false"/>
          <w:smallCaps w:val="false"/>
        </w:rPr>
        <w:t> </w:t>
      </w:r>
    </w:p>
    <w:tbl>
      <w:tblPr>
        <w:tblW w:w="1773" w:type="dxa"/>
        <w:jc w:val="left"/>
        <w:tblInd w:w="0" w:type="dxa"/>
        <w:tblLayout w:type="fixed"/>
        <w:tblCellMar>
          <w:top w:w="0" w:type="dxa"/>
          <w:left w:w="0" w:type="dxa"/>
          <w:bottom w:w="0" w:type="dxa"/>
          <w:right w:w="0" w:type="dxa"/>
        </w:tblCellMar>
      </w:tblPr>
      <w:tblGrid>
        <w:gridCol w:w="38"/>
        <w:gridCol w:w="17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5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Detail Screen</w:t>
            </w:r>
          </w:p>
        </w:tc>
      </w:tr>
    </w:tbl>
    <w:p>
      <w:pPr>
        <w:pStyle w:val="TextBody"/>
        <w:bidi w:val="0"/>
        <w:spacing w:before="0" w:after="0"/>
        <w:ind w:left="2158" w:right="0" w:hanging="0"/>
        <w:jc w:val="both"/>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38"/>
        <w:gridCol w:w="17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header (name, image, member count)</w:t>
            </w:r>
          </w:p>
        </w:tc>
      </w:tr>
    </w:tbl>
    <w:tbl>
      <w:tblPr>
        <w:tblW w:w="1968" w:type="dxa"/>
        <w:jc w:val="left"/>
        <w:tblInd w:w="0" w:type="dxa"/>
        <w:tblLayout w:type="fixed"/>
        <w:tblCellMar>
          <w:top w:w="0" w:type="dxa"/>
          <w:left w:w="0" w:type="dxa"/>
          <w:bottom w:w="0" w:type="dxa"/>
          <w:right w:w="0" w:type="dxa"/>
        </w:tblCellMar>
      </w:tblPr>
      <w:tblGrid>
        <w:gridCol w:w="38"/>
        <w:gridCol w:w="17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and rules</w:t>
            </w:r>
          </w:p>
        </w:tc>
      </w:tr>
    </w:tbl>
    <w:tbl>
      <w:tblPr>
        <w:tblW w:w="1728" w:type="dxa"/>
        <w:jc w:val="left"/>
        <w:tblInd w:w="0" w:type="dxa"/>
        <w:tblLayout w:type="fixed"/>
        <w:tblCellMar>
          <w:top w:w="0" w:type="dxa"/>
          <w:left w:w="0" w:type="dxa"/>
          <w:bottom w:w="0" w:type="dxa"/>
          <w:right w:w="0" w:type="dxa"/>
        </w:tblCellMar>
      </w:tblPr>
      <w:tblGrid>
        <w:gridCol w:w="38"/>
        <w:gridCol w:w="17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Join/Leave button</w:t>
            </w:r>
          </w:p>
        </w:tc>
      </w:tr>
    </w:tbl>
    <w:tbl>
      <w:tblPr>
        <w:tblW w:w="2838" w:type="dxa"/>
        <w:jc w:val="left"/>
        <w:tblInd w:w="0" w:type="dxa"/>
        <w:tblLayout w:type="fixed"/>
        <w:tblCellMar>
          <w:top w:w="0" w:type="dxa"/>
          <w:left w:w="0" w:type="dxa"/>
          <w:bottom w:w="0" w:type="dxa"/>
          <w:right w:w="0" w:type="dxa"/>
        </w:tblCellMar>
      </w:tblPr>
      <w:tblGrid>
        <w:gridCol w:w="38"/>
        <w:gridCol w:w="17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feed specific to the hub</w:t>
            </w:r>
          </w:p>
        </w:tc>
      </w:tr>
    </w:tbl>
    <w:tbl>
      <w:tblPr>
        <w:tblW w:w="1218" w:type="dxa"/>
        <w:jc w:val="left"/>
        <w:tblInd w:w="0" w:type="dxa"/>
        <w:tblLayout w:type="fixed"/>
        <w:tblCellMar>
          <w:top w:w="0" w:type="dxa"/>
          <w:left w:w="0" w:type="dxa"/>
          <w:bottom w:w="0" w:type="dxa"/>
          <w:right w:w="0" w:type="dxa"/>
        </w:tblCellMar>
      </w:tblPr>
      <w:tblGrid>
        <w:gridCol w:w="38"/>
        <w:gridCol w:w="17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list</w:t>
            </w:r>
          </w:p>
        </w:tc>
      </w:tr>
    </w:tbl>
    <w:p>
      <w:pPr>
        <w:pStyle w:val="TextBody"/>
        <w:bidi w:val="0"/>
        <w:spacing w:before="0" w:after="0"/>
        <w:ind w:left="2879" w:right="0" w:hanging="0"/>
        <w:jc w:val="both"/>
        <w:rPr>
          <w:caps w:val="false"/>
          <w:smallCaps w:val="false"/>
        </w:rPr>
      </w:pPr>
      <w:r>
        <w:rPr>
          <w:caps w:val="false"/>
          <w:smallCaps w:val="false"/>
        </w:rPr>
        <w:t> </w:t>
      </w:r>
    </w:p>
    <w:tbl>
      <w:tblPr>
        <w:tblW w:w="1983" w:type="dxa"/>
        <w:jc w:val="left"/>
        <w:tblInd w:w="0" w:type="dxa"/>
        <w:tblLayout w:type="fixed"/>
        <w:tblCellMar>
          <w:top w:w="0" w:type="dxa"/>
          <w:left w:w="0" w:type="dxa"/>
          <w:bottom w:w="0" w:type="dxa"/>
          <w:right w:w="0" w:type="dxa"/>
        </w:tblCellMar>
      </w:tblPr>
      <w:tblGrid>
        <w:gridCol w:w="38"/>
        <w:gridCol w:w="170"/>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Match-Specific Hubs</w:t>
            </w:r>
          </w:p>
        </w:tc>
      </w:tr>
    </w:tbl>
    <w:p>
      <w:pPr>
        <w:pStyle w:val="TextBody"/>
        <w:bidi w:val="0"/>
        <w:spacing w:before="0" w:after="0"/>
        <w:ind w:left="2158" w:right="0" w:hanging="0"/>
        <w:jc w:val="both"/>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17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Temporary hubs activated around live matches</w:t>
            </w:r>
          </w:p>
        </w:tc>
      </w:tr>
    </w:tbl>
    <w:tbl>
      <w:tblPr>
        <w:tblW w:w="2628" w:type="dxa"/>
        <w:jc w:val="left"/>
        <w:tblInd w:w="0" w:type="dxa"/>
        <w:tblLayout w:type="fixed"/>
        <w:tblCellMar>
          <w:top w:w="0" w:type="dxa"/>
          <w:left w:w="0" w:type="dxa"/>
          <w:bottom w:w="0" w:type="dxa"/>
          <w:right w:w="0" w:type="dxa"/>
        </w:tblCellMar>
      </w:tblPr>
      <w:tblGrid>
        <w:gridCol w:w="38"/>
        <w:gridCol w:w="170"/>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Match info and score updates</w:t>
            </w:r>
          </w:p>
        </w:tc>
      </w:tr>
    </w:tbl>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Pre/during/post-match discussion tabs</w:t>
            </w:r>
          </w:p>
        </w:tc>
      </w:tr>
    </w:tbl>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Quick access to match streaming</w:t>
            </w:r>
          </w:p>
        </w:tc>
      </w:tr>
    </w:tbl>
    <w:p>
      <w:pPr>
        <w:pStyle w:val="TextBody"/>
        <w:bidi w:val="0"/>
        <w:spacing w:before="0" w:after="0"/>
        <w:ind w:left="287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Interaction Flows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38"/>
        <w:gridCol w:w="170"/>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Discovering hubs</w:t>
            </w:r>
            <w:r>
              <w:rPr>
                <w:rFonts w:ascii="Times New Roman;Times;Serif" w:hAnsi="Times New Roman;Times;Serif"/>
                <w:b w:val="false"/>
                <w:i w:val="false"/>
                <w:caps w:val="false"/>
                <w:smallCaps w:val="false"/>
                <w:sz w:val="20"/>
              </w:rPr>
              <w:t>:</w:t>
            </w:r>
          </w:p>
        </w:tc>
      </w:tr>
    </w:tbl>
    <w:p>
      <w:pPr>
        <w:pStyle w:val="TextBody"/>
        <w:bidi w:val="0"/>
        <w:spacing w:before="0" w:after="0"/>
        <w:ind w:left="2158" w:right="0" w:hanging="0"/>
        <w:jc w:val="both"/>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8"/>
        <w:gridCol w:w="17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Navigate to Discover tab → Browse hub categories → View hub details</w:t>
            </w:r>
          </w:p>
        </w:tc>
      </w:tr>
    </w:tbl>
    <w:p>
      <w:pPr>
        <w:pStyle w:val="TextBody"/>
        <w:bidi w:val="0"/>
        <w:spacing w:before="0" w:after="0"/>
        <w:ind w:left="2879" w:right="0" w:hanging="0"/>
        <w:jc w:val="both"/>
        <w:rPr>
          <w:caps w:val="false"/>
          <w:smallCaps w:val="false"/>
        </w:rPr>
      </w:pPr>
      <w:r>
        <w:rPr>
          <w:caps w:val="false"/>
          <w:smallCaps w:val="false"/>
        </w:rPr>
        <w:t> </w:t>
      </w:r>
    </w:p>
    <w:tbl>
      <w:tblPr>
        <w:tblW w:w="1458" w:type="dxa"/>
        <w:jc w:val="left"/>
        <w:tblInd w:w="0" w:type="dxa"/>
        <w:tblLayout w:type="fixed"/>
        <w:tblCellMar>
          <w:top w:w="0" w:type="dxa"/>
          <w:left w:w="0" w:type="dxa"/>
          <w:bottom w:w="0" w:type="dxa"/>
          <w:right w:w="0" w:type="dxa"/>
        </w:tblCellMar>
      </w:tblPr>
      <w:tblGrid>
        <w:gridCol w:w="38"/>
        <w:gridCol w:w="170"/>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2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Joining a hub:</w:t>
            </w:r>
          </w:p>
        </w:tc>
      </w:tr>
    </w:tbl>
    <w:p>
      <w:pPr>
        <w:pStyle w:val="TextBody"/>
        <w:bidi w:val="0"/>
        <w:spacing w:before="0" w:after="0"/>
        <w:ind w:left="2158" w:right="0" w:hanging="0"/>
        <w:jc w:val="both"/>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View hub details → Tap Join → Receive welcome notification</w:t>
            </w:r>
          </w:p>
        </w:tc>
      </w:tr>
    </w:tbl>
    <w:p>
      <w:pPr>
        <w:pStyle w:val="TextBody"/>
        <w:bidi w:val="0"/>
        <w:spacing w:before="0" w:after="0"/>
        <w:ind w:left="2879" w:right="0" w:hanging="0"/>
        <w:jc w:val="both"/>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17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4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Posting in a hub:</w:t>
            </w:r>
          </w:p>
        </w:tc>
      </w:tr>
    </w:tbl>
    <w:p>
      <w:pPr>
        <w:pStyle w:val="TextBody"/>
        <w:bidi w:val="0"/>
        <w:spacing w:before="0" w:after="0"/>
        <w:ind w:left="2158" w:right="0" w:hanging="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Navigate to hub → Create post (similar to main feed post creation) → Post appears in hub feed</w:t>
            </w:r>
          </w:p>
        </w:tc>
      </w:tr>
    </w:tbl>
    <w:p>
      <w:pPr>
        <w:pStyle w:val="TextBody"/>
        <w:bidi w:val="0"/>
        <w:spacing w:before="0" w:after="0"/>
        <w:ind w:left="2880" w:right="0" w:hanging="36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17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9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Match hub experience:</w:t>
            </w:r>
          </w:p>
        </w:tc>
      </w:tr>
    </w:tbl>
    <w:p>
      <w:pPr>
        <w:pStyle w:val="TextBody"/>
        <w:bidi w:val="0"/>
        <w:spacing w:before="0" w:after="0"/>
        <w:ind w:left="2158" w:right="0" w:hanging="0"/>
        <w:jc w:val="both"/>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17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notification about match hub → Join hub → Participate in live discussion</w:t>
            </w:r>
          </w:p>
        </w:tc>
      </w:tr>
    </w:tbl>
    <w:p>
      <w:pPr>
        <w:pStyle w:val="TextBody"/>
        <w:bidi w:val="0"/>
        <w:spacing w:before="0" w:after="0"/>
        <w:ind w:left="2879" w:right="0" w:hanging="0"/>
        <w:jc w:val="both"/>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290"/>
        <w:gridCol w:w="93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w:t>
            </w:r>
          </w:p>
        </w:tc>
        <w:tc>
          <w:tcPr>
            <w:tcW w:w="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Messaging</w:t>
            </w:r>
          </w:p>
        </w:tc>
      </w:tr>
    </w:tbl>
    <w:p>
      <w:pPr>
        <w:pStyle w:val="TextBody"/>
        <w:bidi w:val="0"/>
        <w:spacing w:before="0" w:after="0"/>
        <w:ind w:left="187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Enable basic one-to-one communication between users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User Story</w:t>
      </w:r>
      <w:r>
        <w:rPr>
          <w:rFonts w:ascii="Times New Roman;Times;Serif" w:hAnsi="Times New Roman;Times;Serif"/>
          <w:b w:val="false"/>
          <w:i w:val="false"/>
          <w:caps w:val="false"/>
          <w:smallCaps w:val="false"/>
          <w:sz w:val="20"/>
        </w:rPr>
        <w:t>: As a user, I want to have private conversations with other users to discuss matches, share content, and connect personally.</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Features &amp; Components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7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4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Chat List Screen</w:t>
            </w:r>
          </w:p>
        </w:tc>
      </w:tr>
    </w:tbl>
    <w:p>
      <w:pPr>
        <w:pStyle w:val="TextBody"/>
        <w:bidi w:val="0"/>
        <w:spacing w:before="0" w:after="0"/>
        <w:ind w:left="2158" w:right="0" w:hanging="0"/>
        <w:jc w:val="both"/>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170"/>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conversations list</w:t>
            </w:r>
          </w:p>
        </w:tc>
      </w:tr>
    </w:tbl>
    <w:tbl>
      <w:tblPr>
        <w:tblW w:w="1158" w:type="dxa"/>
        <w:jc w:val="left"/>
        <w:tblInd w:w="0" w:type="dxa"/>
        <w:tblLayout w:type="fixed"/>
        <w:tblCellMar>
          <w:top w:w="0" w:type="dxa"/>
          <w:left w:w="0" w:type="dxa"/>
          <w:bottom w:w="0" w:type="dxa"/>
          <w:right w:w="0" w:type="dxa"/>
        </w:tblCellMar>
      </w:tblPr>
      <w:tblGrid>
        <w:gridCol w:w="38"/>
        <w:gridCol w:w="170"/>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search</w:t>
            </w:r>
          </w:p>
        </w:tc>
      </w:tr>
    </w:tbl>
    <w:tbl>
      <w:tblPr>
        <w:tblW w:w="2163" w:type="dxa"/>
        <w:jc w:val="left"/>
        <w:tblInd w:w="0" w:type="dxa"/>
        <w:tblLayout w:type="fixed"/>
        <w:tblCellMar>
          <w:top w:w="0" w:type="dxa"/>
          <w:left w:w="0" w:type="dxa"/>
          <w:bottom w:w="0" w:type="dxa"/>
          <w:right w:w="0" w:type="dxa"/>
        </w:tblCellMar>
      </w:tblPr>
      <w:tblGrid>
        <w:gridCol w:w="38"/>
        <w:gridCol w:w="17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Online status indicators</w:t>
            </w:r>
          </w:p>
        </w:tc>
      </w:tr>
    </w:tbl>
    <w:tbl>
      <w:tblPr>
        <w:tblW w:w="1638" w:type="dxa"/>
        <w:jc w:val="left"/>
        <w:tblInd w:w="0" w:type="dxa"/>
        <w:tblLayout w:type="fixed"/>
        <w:tblCellMar>
          <w:top w:w="0" w:type="dxa"/>
          <w:left w:w="0" w:type="dxa"/>
          <w:bottom w:w="0" w:type="dxa"/>
          <w:right w:w="0" w:type="dxa"/>
        </w:tblCellMar>
      </w:tblPr>
      <w:tblGrid>
        <w:gridCol w:w="38"/>
        <w:gridCol w:w="17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Message preview</w:t>
            </w:r>
          </w:p>
        </w:tc>
      </w:tr>
    </w:tbl>
    <w:tbl>
      <w:tblPr>
        <w:tblW w:w="1143" w:type="dxa"/>
        <w:jc w:val="left"/>
        <w:tblInd w:w="0" w:type="dxa"/>
        <w:tblLayout w:type="fixed"/>
        <w:tblCellMar>
          <w:top w:w="0" w:type="dxa"/>
          <w:left w:w="0" w:type="dxa"/>
          <w:bottom w:w="0" w:type="dxa"/>
          <w:right w:w="0" w:type="dxa"/>
        </w:tblCellMar>
      </w:tblPr>
      <w:tblGrid>
        <w:gridCol w:w="38"/>
        <w:gridCol w:w="170"/>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Timestamp</w:t>
            </w:r>
          </w:p>
        </w:tc>
      </w:tr>
    </w:tbl>
    <w:p>
      <w:pPr>
        <w:pStyle w:val="TextBody"/>
        <w:bidi w:val="0"/>
        <w:spacing w:before="0" w:after="0"/>
        <w:ind w:left="2879" w:right="0" w:hanging="0"/>
        <w:jc w:val="both"/>
        <w:rPr>
          <w:caps w:val="false"/>
          <w:smallCaps w:val="false"/>
        </w:rPr>
      </w:pPr>
      <w:r>
        <w:rPr>
          <w:caps w:val="false"/>
          <w:smallCaps w:val="false"/>
        </w:rPr>
        <w:t> </w:t>
      </w:r>
    </w:p>
    <w:tbl>
      <w:tblPr>
        <w:tblW w:w="1818" w:type="dxa"/>
        <w:jc w:val="left"/>
        <w:tblInd w:w="0" w:type="dxa"/>
        <w:tblLayout w:type="fixed"/>
        <w:tblCellMar>
          <w:top w:w="0" w:type="dxa"/>
          <w:left w:w="0" w:type="dxa"/>
          <w:bottom w:w="0" w:type="dxa"/>
          <w:right w:w="0" w:type="dxa"/>
        </w:tblCellMar>
      </w:tblPr>
      <w:tblGrid>
        <w:gridCol w:w="38"/>
        <w:gridCol w:w="17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Chat Detail Screen</w:t>
            </w:r>
          </w:p>
        </w:tc>
      </w:tr>
    </w:tbl>
    <w:p>
      <w:pPr>
        <w:pStyle w:val="TextBody"/>
        <w:bidi w:val="0"/>
        <w:spacing w:before="0" w:after="0"/>
        <w:ind w:left="2158" w:right="0" w:hanging="0"/>
        <w:jc w:val="both"/>
        <w:rPr>
          <w:caps w:val="false"/>
          <w:smallCaps w:val="false"/>
        </w:rPr>
      </w:pPr>
      <w:r>
        <w:rPr>
          <w:caps w:val="false"/>
          <w:smallCaps w:val="false"/>
        </w:rPr>
        <w:t> </w:t>
      </w:r>
    </w:p>
    <w:tbl>
      <w:tblPr>
        <w:tblW w:w="1563" w:type="dxa"/>
        <w:jc w:val="left"/>
        <w:tblInd w:w="0" w:type="dxa"/>
        <w:tblLayout w:type="fixed"/>
        <w:tblCellMar>
          <w:top w:w="0" w:type="dxa"/>
          <w:left w:w="0" w:type="dxa"/>
          <w:bottom w:w="0" w:type="dxa"/>
          <w:right w:w="0" w:type="dxa"/>
        </w:tblCellMar>
      </w:tblPr>
      <w:tblGrid>
        <w:gridCol w:w="38"/>
        <w:gridCol w:w="17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Message history</w:t>
            </w:r>
          </w:p>
        </w:tc>
      </w:tr>
    </w:tbl>
    <w:tbl>
      <w:tblPr>
        <w:tblW w:w="1848" w:type="dxa"/>
        <w:jc w:val="left"/>
        <w:tblInd w:w="0" w:type="dxa"/>
        <w:tblLayout w:type="fixed"/>
        <w:tblCellMar>
          <w:top w:w="0" w:type="dxa"/>
          <w:left w:w="0" w:type="dxa"/>
          <w:bottom w:w="0" w:type="dxa"/>
          <w:right w:w="0" w:type="dxa"/>
        </w:tblCellMar>
      </w:tblPr>
      <w:tblGrid>
        <w:gridCol w:w="38"/>
        <w:gridCol w:w="17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Message input field</w:t>
            </w:r>
          </w:p>
        </w:tc>
      </w:tr>
    </w:tbl>
    <w:tbl>
      <w:tblPr>
        <w:tblW w:w="2298" w:type="dxa"/>
        <w:jc w:val="left"/>
        <w:tblInd w:w="0" w:type="dxa"/>
        <w:tblLayout w:type="fixed"/>
        <w:tblCellMar>
          <w:top w:w="0" w:type="dxa"/>
          <w:left w:w="0" w:type="dxa"/>
          <w:bottom w:w="0" w:type="dxa"/>
          <w:right w:w="0" w:type="dxa"/>
        </w:tblCellMar>
      </w:tblPr>
      <w:tblGrid>
        <w:gridCol w:w="38"/>
        <w:gridCol w:w="17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attachment option</w:t>
            </w:r>
          </w:p>
        </w:tc>
      </w:tr>
    </w:tbl>
    <w:tbl>
      <w:tblPr>
        <w:tblW w:w="2133" w:type="dxa"/>
        <w:jc w:val="left"/>
        <w:tblInd w:w="0" w:type="dxa"/>
        <w:tblLayout w:type="fixed"/>
        <w:tblCellMar>
          <w:top w:w="0" w:type="dxa"/>
          <w:left w:w="0" w:type="dxa"/>
          <w:bottom w:w="0" w:type="dxa"/>
          <w:right w:w="0" w:type="dxa"/>
        </w:tblCellMar>
      </w:tblPr>
      <w:tblGrid>
        <w:gridCol w:w="38"/>
        <w:gridCol w:w="170"/>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info/profile access</w:t>
            </w:r>
          </w:p>
        </w:tc>
      </w:tr>
    </w:tbl>
    <w:tbl>
      <w:tblPr>
        <w:tblW w:w="1518" w:type="dxa"/>
        <w:jc w:val="left"/>
        <w:tblInd w:w="0" w:type="dxa"/>
        <w:tblLayout w:type="fixed"/>
        <w:tblCellMar>
          <w:top w:w="0" w:type="dxa"/>
          <w:left w:w="0" w:type="dxa"/>
          <w:bottom w:w="0" w:type="dxa"/>
          <w:right w:w="0" w:type="dxa"/>
        </w:tblCellMar>
      </w:tblPr>
      <w:tblGrid>
        <w:gridCol w:w="38"/>
        <w:gridCol w:w="17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 indicators</w:t>
            </w:r>
          </w:p>
        </w:tc>
      </w:tr>
    </w:tbl>
    <w:p>
      <w:pPr>
        <w:pStyle w:val="TextBody"/>
        <w:bidi w:val="0"/>
        <w:spacing w:before="0" w:after="0"/>
        <w:ind w:left="2879" w:right="0" w:hanging="0"/>
        <w:jc w:val="both"/>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17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3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Message Types</w:t>
            </w:r>
          </w:p>
        </w:tc>
      </w:tr>
    </w:tbl>
    <w:p>
      <w:pPr>
        <w:pStyle w:val="TextBody"/>
        <w:bidi w:val="0"/>
        <w:spacing w:before="0" w:after="0"/>
        <w:ind w:left="2158" w:right="0" w:hanging="0"/>
        <w:jc w:val="both"/>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38"/>
        <w:gridCol w:w="170"/>
        <w:gridCol w:w="1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 messages</w:t>
            </w:r>
          </w:p>
        </w:tc>
      </w:tr>
    </w:tbl>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Image messages</w:t>
            </w:r>
          </w:p>
        </w:tc>
      </w:tr>
    </w:tbl>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 messages</w:t>
            </w:r>
          </w:p>
        </w:tc>
      </w:tr>
    </w:tbl>
    <w:p>
      <w:pPr>
        <w:pStyle w:val="TextBody"/>
        <w:bidi w:val="0"/>
        <w:spacing w:before="0" w:after="0"/>
        <w:ind w:left="287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Interaction Flows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170"/>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Starting a conversation</w:t>
            </w:r>
            <w:r>
              <w:rPr>
                <w:rFonts w:ascii="Times New Roman;Times;Serif" w:hAnsi="Times New Roman;Times;Serif"/>
                <w:b w:val="false"/>
                <w:i w:val="false"/>
                <w:caps w:val="false"/>
                <w:smallCaps w:val="false"/>
                <w:sz w:val="20"/>
              </w:rPr>
              <w:t>:</w:t>
            </w:r>
          </w:p>
        </w:tc>
      </w:tr>
    </w:tbl>
    <w:p>
      <w:pPr>
        <w:pStyle w:val="TextBody"/>
        <w:bidi w:val="0"/>
        <w:spacing w:before="0" w:after="0"/>
        <w:ind w:left="2158" w:right="0" w:hanging="0"/>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170"/>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Navigate to Chat List → Tap New Message → Select recipient → Start conversation</w:t>
            </w:r>
          </w:p>
        </w:tc>
      </w:tr>
    </w:tbl>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tbl>
      <w:tblPr>
        <w:tblW w:w="5283" w:type="dxa"/>
        <w:jc w:val="left"/>
        <w:tblInd w:w="0" w:type="dxa"/>
        <w:tblLayout w:type="fixed"/>
        <w:tblCellMar>
          <w:top w:w="0" w:type="dxa"/>
          <w:left w:w="0" w:type="dxa"/>
          <w:bottom w:w="0" w:type="dxa"/>
          <w:right w:w="0" w:type="dxa"/>
        </w:tblCellMar>
      </w:tblPr>
      <w:tblGrid>
        <w:gridCol w:w="38"/>
        <w:gridCol w:w="17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Visit user profile → Tap Message button → Start conversation</w:t>
            </w:r>
          </w:p>
        </w:tc>
      </w:tr>
    </w:tbl>
    <w:p>
      <w:pPr>
        <w:pStyle w:val="TextBody"/>
        <w:bidi w:val="0"/>
        <w:spacing w:before="0" w:after="0"/>
        <w:ind w:left="2879" w:right="0" w:hanging="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170"/>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5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Sending messages:</w:t>
            </w:r>
          </w:p>
        </w:tc>
      </w:tr>
    </w:tbl>
    <w:p>
      <w:pPr>
        <w:pStyle w:val="TextBody"/>
        <w:bidi w:val="0"/>
        <w:spacing w:before="0" w:after="0"/>
        <w:ind w:left="2158" w:right="0" w:hanging="0"/>
        <w:jc w:val="both"/>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8"/>
        <w:gridCol w:w="17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text in input field → Tap send</w:t>
            </w:r>
          </w:p>
        </w:tc>
      </w:tr>
    </w:tbl>
    <w:tbl>
      <w:tblPr>
        <w:tblW w:w="5538" w:type="dxa"/>
        <w:jc w:val="left"/>
        <w:tblInd w:w="0" w:type="dxa"/>
        <w:tblLayout w:type="fixed"/>
        <w:tblCellMar>
          <w:top w:w="0" w:type="dxa"/>
          <w:left w:w="0" w:type="dxa"/>
          <w:bottom w:w="0" w:type="dxa"/>
          <w:right w:w="0" w:type="dxa"/>
        </w:tblCellMar>
      </w:tblPr>
      <w:tblGrid>
        <w:gridCol w:w="38"/>
        <w:gridCol w:w="17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 attachment → Select media → Add optional caption → Send</w:t>
            </w:r>
          </w:p>
        </w:tc>
      </w:tr>
    </w:tbl>
    <w:p>
      <w:pPr>
        <w:pStyle w:val="TextBody"/>
        <w:bidi w:val="0"/>
        <w:spacing w:before="0" w:after="0"/>
        <w:ind w:left="2879"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90"/>
        <w:gridCol w:w="11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w:t>
            </w:r>
          </w:p>
        </w:tc>
        <w:tc>
          <w:tcPr>
            <w:tcW w:w="11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Notifications</w:t>
            </w:r>
          </w:p>
        </w:tc>
      </w:tr>
    </w:tbl>
    <w:p>
      <w:pPr>
        <w:pStyle w:val="TextBody"/>
        <w:bidi w:val="0"/>
        <w:spacing w:before="0" w:after="0"/>
        <w:ind w:left="187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Keep users informed about relevant activities and engagement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User Story</w:t>
      </w:r>
      <w:r>
        <w:rPr>
          <w:rFonts w:ascii="Times New Roman;Times;Serif" w:hAnsi="Times New Roman;Times;Serif"/>
          <w:b w:val="false"/>
          <w:i w:val="false"/>
          <w:caps w:val="false"/>
          <w:smallCaps w:val="false"/>
          <w:sz w:val="20"/>
        </w:rPr>
        <w:t>: As a user, I want to receive timely notifications about interactions, content from followed accounts, and important events.</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Features &amp; Components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170"/>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6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Center</w:t>
            </w:r>
          </w:p>
        </w:tc>
      </w:tr>
    </w:tbl>
    <w:p>
      <w:pPr>
        <w:pStyle w:val="TextBody"/>
        <w:bidi w:val="0"/>
        <w:spacing w:before="0" w:after="0"/>
        <w:ind w:left="2158" w:right="0" w:hanging="0"/>
        <w:jc w:val="both"/>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170"/>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Chronological list of notifications</w:t>
            </w:r>
          </w:p>
        </w:tc>
      </w:tr>
    </w:tbl>
    <w:tbl>
      <w:tblPr>
        <w:tblW w:w="2028" w:type="dxa"/>
        <w:jc w:val="left"/>
        <w:tblInd w:w="0" w:type="dxa"/>
        <w:tblLayout w:type="fixed"/>
        <w:tblCellMar>
          <w:top w:w="0" w:type="dxa"/>
          <w:left w:w="0" w:type="dxa"/>
          <w:bottom w:w="0" w:type="dxa"/>
          <w:right w:w="0" w:type="dxa"/>
        </w:tblCellMar>
      </w:tblPr>
      <w:tblGrid>
        <w:gridCol w:w="38"/>
        <w:gridCol w:w="170"/>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grouping</w:t>
            </w:r>
          </w:p>
        </w:tc>
      </w:tr>
    </w:tbl>
    <w:tbl>
      <w:tblPr>
        <w:tblW w:w="1788" w:type="dxa"/>
        <w:jc w:val="left"/>
        <w:tblInd w:w="0" w:type="dxa"/>
        <w:tblLayout w:type="fixed"/>
        <w:tblCellMar>
          <w:top w:w="0" w:type="dxa"/>
          <w:left w:w="0" w:type="dxa"/>
          <w:bottom w:w="0" w:type="dxa"/>
          <w:right w:w="0" w:type="dxa"/>
        </w:tblCellMar>
      </w:tblPr>
      <w:tblGrid>
        <w:gridCol w:w="38"/>
        <w:gridCol w:w="170"/>
        <w:gridCol w:w="1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Read/unread status</w:t>
            </w:r>
          </w:p>
        </w:tc>
      </w:tr>
    </w:tbl>
    <w:tbl>
      <w:tblPr>
        <w:tblW w:w="1458" w:type="dxa"/>
        <w:jc w:val="left"/>
        <w:tblInd w:w="0" w:type="dxa"/>
        <w:tblLayout w:type="fixed"/>
        <w:tblCellMar>
          <w:top w:w="0" w:type="dxa"/>
          <w:left w:w="0" w:type="dxa"/>
          <w:bottom w:w="0" w:type="dxa"/>
          <w:right w:w="0" w:type="dxa"/>
        </w:tblCellMar>
      </w:tblPr>
      <w:tblGrid>
        <w:gridCol w:w="38"/>
        <w:gridCol w:w="170"/>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 buttons</w:t>
            </w:r>
          </w:p>
        </w:tc>
      </w:tr>
    </w:tbl>
    <w:p>
      <w:pPr>
        <w:pStyle w:val="TextBody"/>
        <w:bidi w:val="0"/>
        <w:spacing w:before="0" w:after="0"/>
        <w:ind w:left="2879" w:right="0" w:hanging="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170"/>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5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Types</w:t>
            </w:r>
          </w:p>
        </w:tc>
      </w:tr>
    </w:tbl>
    <w:p>
      <w:pPr>
        <w:pStyle w:val="TextBody"/>
        <w:bidi w:val="0"/>
        <w:spacing w:before="0" w:after="0"/>
        <w:ind w:left="2158" w:right="0" w:hanging="0"/>
        <w:jc w:val="both"/>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17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 notifications</w:t>
            </w:r>
          </w:p>
        </w:tc>
      </w:tr>
    </w:tbl>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 notifications</w:t>
            </w:r>
          </w:p>
        </w:tc>
      </w:tr>
    </w:tbl>
    <w:tbl>
      <w:tblPr>
        <w:tblW w:w="1893" w:type="dxa"/>
        <w:jc w:val="left"/>
        <w:tblInd w:w="0" w:type="dxa"/>
        <w:tblLayout w:type="fixed"/>
        <w:tblCellMar>
          <w:top w:w="0" w:type="dxa"/>
          <w:left w:w="0" w:type="dxa"/>
          <w:bottom w:w="0" w:type="dxa"/>
          <w:right w:w="0" w:type="dxa"/>
        </w:tblCellMar>
      </w:tblPr>
      <w:tblGrid>
        <w:gridCol w:w="38"/>
        <w:gridCol w:w="17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 notifications</w:t>
            </w:r>
          </w:p>
        </w:tc>
      </w:tr>
    </w:tbl>
    <w:tbl>
      <w:tblPr>
        <w:tblW w:w="2028" w:type="dxa"/>
        <w:jc w:val="left"/>
        <w:tblInd w:w="0" w:type="dxa"/>
        <w:tblLayout w:type="fixed"/>
        <w:tblCellMar>
          <w:top w:w="0" w:type="dxa"/>
          <w:left w:w="0" w:type="dxa"/>
          <w:bottom w:w="0" w:type="dxa"/>
          <w:right w:w="0" w:type="dxa"/>
        </w:tblCellMar>
      </w:tblPr>
      <w:tblGrid>
        <w:gridCol w:w="38"/>
        <w:gridCol w:w="170"/>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Mention notifications</w:t>
            </w:r>
          </w:p>
        </w:tc>
      </w:tr>
    </w:tbl>
    <w:tbl>
      <w:tblPr>
        <w:tblW w:w="1518" w:type="dxa"/>
        <w:jc w:val="left"/>
        <w:tblInd w:w="0" w:type="dxa"/>
        <w:tblLayout w:type="fixed"/>
        <w:tblCellMar>
          <w:top w:w="0" w:type="dxa"/>
          <w:left w:w="0" w:type="dxa"/>
          <w:bottom w:w="0" w:type="dxa"/>
          <w:right w:w="0" w:type="dxa"/>
        </w:tblCellMar>
      </w:tblPr>
      <w:tblGrid>
        <w:gridCol w:w="38"/>
        <w:gridCol w:w="17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invitations</w:t>
            </w:r>
          </w:p>
        </w:tc>
      </w:tr>
    </w:tbl>
    <w:tbl>
      <w:tblPr>
        <w:tblW w:w="2028" w:type="dxa"/>
        <w:jc w:val="left"/>
        <w:tblInd w:w="0" w:type="dxa"/>
        <w:tblLayout w:type="fixed"/>
        <w:tblCellMar>
          <w:top w:w="0" w:type="dxa"/>
          <w:left w:w="0" w:type="dxa"/>
          <w:bottom w:w="0" w:type="dxa"/>
          <w:right w:w="0" w:type="dxa"/>
        </w:tblCellMar>
      </w:tblPr>
      <w:tblGrid>
        <w:gridCol w:w="38"/>
        <w:gridCol w:w="170"/>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Message notifications</w:t>
            </w:r>
          </w:p>
        </w:tc>
      </w:tr>
    </w:tbl>
    <w:tbl>
      <w:tblPr>
        <w:tblW w:w="1908" w:type="dxa"/>
        <w:jc w:val="left"/>
        <w:tblInd w:w="0" w:type="dxa"/>
        <w:tblLayout w:type="fixed"/>
        <w:tblCellMar>
          <w:top w:w="0" w:type="dxa"/>
          <w:left w:w="0" w:type="dxa"/>
          <w:bottom w:w="0" w:type="dxa"/>
          <w:right w:w="0" w:type="dxa"/>
        </w:tblCellMar>
      </w:tblPr>
      <w:tblGrid>
        <w:gridCol w:w="38"/>
        <w:gridCol w:w="170"/>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notifications</w:t>
            </w:r>
          </w:p>
        </w:tc>
      </w:tr>
    </w:tbl>
    <w:p>
      <w:pPr>
        <w:pStyle w:val="TextBody"/>
        <w:bidi w:val="0"/>
        <w:spacing w:before="0" w:after="0"/>
        <w:ind w:left="287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Interaction Flows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170"/>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Viewing notifications</w:t>
            </w:r>
            <w:r>
              <w:rPr>
                <w:rFonts w:ascii="Times New Roman;Times;Serif" w:hAnsi="Times New Roman;Times;Serif"/>
                <w:b w:val="false"/>
                <w:i w:val="false"/>
                <w:caps w:val="false"/>
                <w:smallCaps w:val="false"/>
                <w:sz w:val="20"/>
              </w:rPr>
              <w:t>:</w:t>
            </w:r>
          </w:p>
        </w:tc>
      </w:tr>
    </w:tbl>
    <w:p>
      <w:pPr>
        <w:pStyle w:val="TextBody"/>
        <w:bidi w:val="0"/>
        <w:spacing w:before="0" w:after="0"/>
        <w:ind w:left="2158" w:right="0" w:hanging="0"/>
        <w:jc w:val="both"/>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17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Tap notification bell icon → View list of notifications → Tap notification to navigate to relevant content</w:t>
            </w:r>
          </w:p>
        </w:tc>
      </w:tr>
    </w:tbl>
    <w:p>
      <w:pPr>
        <w:pStyle w:val="TextBody"/>
        <w:bidi w:val="0"/>
        <w:spacing w:before="0" w:after="0"/>
        <w:ind w:left="2880" w:right="0" w:hanging="360"/>
        <w:jc w:val="both"/>
        <w:rPr>
          <w:caps w:val="false"/>
          <w:smallCaps w:val="false"/>
        </w:rPr>
      </w:pPr>
      <w:r>
        <w:rPr>
          <w:caps w:val="false"/>
          <w:smallCaps w:val="false"/>
        </w:rPr>
        <w:t> </w:t>
      </w:r>
    </w:p>
    <w:tbl>
      <w:tblPr>
        <w:tblW w:w="3213" w:type="dxa"/>
        <w:jc w:val="left"/>
        <w:tblInd w:w="0" w:type="dxa"/>
        <w:tblLayout w:type="fixed"/>
        <w:tblCellMar>
          <w:top w:w="0" w:type="dxa"/>
          <w:left w:w="0" w:type="dxa"/>
          <w:bottom w:w="0" w:type="dxa"/>
          <w:right w:w="0" w:type="dxa"/>
        </w:tblCellMar>
      </w:tblPr>
      <w:tblGrid>
        <w:gridCol w:w="38"/>
        <w:gridCol w:w="170"/>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0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Managing notification preferences:</w:t>
            </w:r>
          </w:p>
        </w:tc>
      </w:tr>
    </w:tbl>
    <w:p>
      <w:pPr>
        <w:pStyle w:val="TextBody"/>
        <w:bidi w:val="0"/>
        <w:spacing w:before="0" w:after="0"/>
        <w:ind w:left="2158" w:right="0" w:hanging="0"/>
        <w:jc w:val="both"/>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38"/>
        <w:gridCol w:w="170"/>
        <w:gridCol w:w="7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Navigate to Settings → Notification Settings → Toggle preferences for different notification types</w:t>
            </w:r>
          </w:p>
        </w:tc>
      </w:tr>
    </w:tbl>
    <w:p>
      <w:pPr>
        <w:pStyle w:val="TextBody"/>
        <w:bidi w:val="0"/>
        <w:spacing w:before="0" w:after="0"/>
        <w:ind w:left="2880" w:right="0" w:hanging="360"/>
        <w:jc w:val="both"/>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185"/>
        <w:gridCol w:w="26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6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Types &amp; Specifications</w:t>
            </w:r>
          </w:p>
        </w:tc>
      </w:tr>
    </w:tbl>
    <w:p>
      <w:pPr>
        <w:pStyle w:val="TextBody"/>
        <w:bidi w:val="0"/>
        <w:spacing w:before="0" w:after="0"/>
        <w:ind w:left="1816" w:right="0" w:hanging="0"/>
        <w:jc w:val="both"/>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290"/>
        <w:gridCol w:w="9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9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 Types</w:t>
            </w:r>
          </w:p>
        </w:tc>
      </w:tr>
    </w:tbl>
    <w:p>
      <w:pPr>
        <w:pStyle w:val="TextBody"/>
        <w:bidi w:val="0"/>
        <w:spacing w:before="0" w:after="0"/>
        <w:ind w:left="1870" w:right="0" w:hanging="0"/>
        <w:jc w:val="both"/>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170"/>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6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Text Post</w:t>
            </w:r>
          </w:p>
        </w:tc>
      </w:tr>
    </w:tbl>
    <w:p>
      <w:pPr>
        <w:pStyle w:val="TextBody"/>
        <w:bidi w:val="0"/>
        <w:spacing w:before="0" w:after="0"/>
        <w:ind w:left="2158" w:right="0" w:hanging="0"/>
        <w:jc w:val="both"/>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 Up to 500 characters</w:t>
            </w:r>
          </w:p>
        </w:tc>
      </w:tr>
    </w:tbl>
    <w:tbl>
      <w:tblPr>
        <w:tblW w:w="3678" w:type="dxa"/>
        <w:jc w:val="left"/>
        <w:tblInd w:w="0" w:type="dxa"/>
        <w:tblLayout w:type="fixed"/>
        <w:tblCellMar>
          <w:top w:w="0" w:type="dxa"/>
          <w:left w:w="0" w:type="dxa"/>
          <w:bottom w:w="0" w:type="dxa"/>
          <w:right w:w="0" w:type="dxa"/>
        </w:tblCellMar>
      </w:tblPr>
      <w:tblGrid>
        <w:gridCol w:w="38"/>
        <w:gridCol w:w="17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Optional media: Up to 4 photos or 1 video</w:t>
            </w:r>
          </w:p>
        </w:tc>
      </w:tr>
    </w:tbl>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for @mentions and #hashtags</w:t>
            </w:r>
          </w:p>
        </w:tc>
      </w:tr>
    </w:tbl>
    <w:p>
      <w:pPr>
        <w:pStyle w:val="TextBody"/>
        <w:bidi w:val="0"/>
        <w:spacing w:before="0" w:after="0"/>
        <w:ind w:left="2879" w:right="0" w:hanging="0"/>
        <w:jc w:val="both"/>
        <w:rPr>
          <w:caps w:val="false"/>
          <w:smallCaps w:val="false"/>
        </w:rPr>
      </w:pPr>
      <w:r>
        <w:rPr>
          <w:caps w:val="false"/>
          <w:smallCaps w:val="false"/>
        </w:rPr>
        <w:t> </w:t>
      </w:r>
    </w:p>
    <w:tbl>
      <w:tblPr>
        <w:tblW w:w="1188" w:type="dxa"/>
        <w:jc w:val="left"/>
        <w:tblInd w:w="0" w:type="dxa"/>
        <w:tblLayout w:type="fixed"/>
        <w:tblCellMar>
          <w:top w:w="0" w:type="dxa"/>
          <w:left w:w="0" w:type="dxa"/>
          <w:bottom w:w="0" w:type="dxa"/>
          <w:right w:w="0" w:type="dxa"/>
        </w:tblCellMar>
      </w:tblPr>
      <w:tblGrid>
        <w:gridCol w:w="38"/>
        <w:gridCol w:w="170"/>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Post</w:t>
            </w:r>
          </w:p>
        </w:tc>
      </w:tr>
    </w:tbl>
    <w:p>
      <w:pPr>
        <w:pStyle w:val="TextBody"/>
        <w:bidi w:val="0"/>
        <w:spacing w:before="0" w:after="0"/>
        <w:ind w:left="2158" w:right="0" w:hanging="0"/>
        <w:jc w:val="both"/>
        <w:rPr>
          <w:caps w:val="false"/>
          <w:smallCaps w:val="false"/>
        </w:rPr>
      </w:pPr>
      <w:r>
        <w:rPr>
          <w:caps w:val="false"/>
          <w:smallCaps w:val="false"/>
        </w:rPr>
        <w:t> </w:t>
      </w:r>
    </w:p>
    <w:tbl>
      <w:tblPr>
        <w:tblW w:w="3843" w:type="dxa"/>
        <w:jc w:val="left"/>
        <w:tblInd w:w="0" w:type="dxa"/>
        <w:tblLayout w:type="fixed"/>
        <w:tblCellMar>
          <w:top w:w="0" w:type="dxa"/>
          <w:left w:w="0" w:type="dxa"/>
          <w:bottom w:w="0" w:type="dxa"/>
          <w:right w:w="0" w:type="dxa"/>
        </w:tblCellMar>
      </w:tblPr>
      <w:tblGrid>
        <w:gridCol w:w="38"/>
        <w:gridCol w:w="17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Photos: Up to 10 images, swipeable carousel</w:t>
            </w:r>
          </w:p>
        </w:tc>
      </w:tr>
    </w:tbl>
    <w:tbl>
      <w:tblPr>
        <w:tblW w:w="4893" w:type="dxa"/>
        <w:jc w:val="left"/>
        <w:tblInd w:w="0" w:type="dxa"/>
        <w:tblLayout w:type="fixed"/>
        <w:tblCellMar>
          <w:top w:w="0" w:type="dxa"/>
          <w:left w:w="0" w:type="dxa"/>
          <w:bottom w:w="0" w:type="dxa"/>
          <w:right w:w="0" w:type="dxa"/>
        </w:tblCellMar>
      </w:tblPr>
      <w:tblGrid>
        <w:gridCol w:w="38"/>
        <w:gridCol w:w="17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Videos: Up to 2 minutes, auto-play in feed with sound off</w:t>
            </w:r>
          </w:p>
        </w:tc>
      </w:tr>
    </w:tbl>
    <w:tbl>
      <w:tblPr>
        <w:tblW w:w="2673" w:type="dxa"/>
        <w:jc w:val="left"/>
        <w:tblInd w:w="0" w:type="dxa"/>
        <w:tblLayout w:type="fixed"/>
        <w:tblCellMar>
          <w:top w:w="0" w:type="dxa"/>
          <w:left w:w="0" w:type="dxa"/>
          <w:bottom w:w="0" w:type="dxa"/>
          <w:right w:w="0" w:type="dxa"/>
        </w:tblCellMar>
      </w:tblPr>
      <w:tblGrid>
        <w:gridCol w:w="38"/>
        <w:gridCol w:w="170"/>
        <w:gridCol w:w="2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GIFs: Standard format support</w:t>
            </w:r>
          </w:p>
        </w:tc>
      </w:tr>
    </w:tbl>
    <w:p>
      <w:pPr>
        <w:pStyle w:val="TextBody"/>
        <w:bidi w:val="0"/>
        <w:spacing w:before="0" w:after="0"/>
        <w:ind w:left="2879" w:right="0" w:hanging="0"/>
        <w:jc w:val="both"/>
        <w:rPr>
          <w:caps w:val="false"/>
          <w:smallCaps w:val="false"/>
        </w:rPr>
      </w:pPr>
      <w:r>
        <w:rPr>
          <w:caps w:val="false"/>
          <w:smallCaps w:val="false"/>
        </w:rPr>
        <w:t> </w:t>
      </w:r>
    </w:p>
    <w:tbl>
      <w:tblPr>
        <w:tblW w:w="993" w:type="dxa"/>
        <w:jc w:val="left"/>
        <w:tblInd w:w="0" w:type="dxa"/>
        <w:tblLayout w:type="fixed"/>
        <w:tblCellMar>
          <w:top w:w="0" w:type="dxa"/>
          <w:left w:w="0" w:type="dxa"/>
          <w:bottom w:w="0" w:type="dxa"/>
          <w:right w:w="0" w:type="dxa"/>
        </w:tblCellMar>
      </w:tblPr>
      <w:tblGrid>
        <w:gridCol w:w="38"/>
        <w:gridCol w:w="170"/>
        <w:gridCol w:w="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Poll Post</w:t>
            </w:r>
          </w:p>
        </w:tc>
      </w:tr>
    </w:tbl>
    <w:p>
      <w:pPr>
        <w:pStyle w:val="TextBody"/>
        <w:bidi w:val="0"/>
        <w:spacing w:before="0" w:after="0"/>
        <w:ind w:left="2158" w:right="0" w:hanging="0"/>
        <w:jc w:val="both"/>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38"/>
        <w:gridCol w:w="170"/>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Question text: Up to 200 characters</w:t>
            </w:r>
          </w:p>
        </w:tc>
      </w:tr>
    </w:tbl>
    <w:p>
      <w:pPr>
        <w:pStyle w:val="TextBody"/>
        <w:bidi w:val="0"/>
        <w:spacing w:before="0" w:after="0"/>
        <w:ind w:left="287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38"/>
        <w:gridCol w:w="170"/>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2-4 choices</w:t>
            </w:r>
          </w:p>
        </w:tc>
      </w:tr>
    </w:tbl>
    <w:tbl>
      <w:tblPr>
        <w:tblW w:w="2373" w:type="dxa"/>
        <w:jc w:val="left"/>
        <w:tblInd w:w="0" w:type="dxa"/>
        <w:tblLayout w:type="fixed"/>
        <w:tblCellMar>
          <w:top w:w="0" w:type="dxa"/>
          <w:left w:w="0" w:type="dxa"/>
          <w:bottom w:w="0" w:type="dxa"/>
          <w:right w:w="0" w:type="dxa"/>
        </w:tblCellMar>
      </w:tblPr>
      <w:tblGrid>
        <w:gridCol w:w="38"/>
        <w:gridCol w:w="17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Duration: 1 hour to 7 days</w:t>
            </w:r>
          </w:p>
        </w:tc>
      </w:tr>
    </w:tbl>
    <w:tbl>
      <w:tblPr>
        <w:tblW w:w="2313" w:type="dxa"/>
        <w:jc w:val="left"/>
        <w:tblInd w:w="0" w:type="dxa"/>
        <w:tblLayout w:type="fixed"/>
        <w:tblCellMar>
          <w:top w:w="0" w:type="dxa"/>
          <w:left w:w="0" w:type="dxa"/>
          <w:bottom w:w="0" w:type="dxa"/>
          <w:right w:w="0" w:type="dxa"/>
        </w:tblCellMar>
      </w:tblPr>
      <w:tblGrid>
        <w:gridCol w:w="38"/>
        <w:gridCol w:w="17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visibility settings</w:t>
            </w:r>
          </w:p>
        </w:tc>
      </w:tr>
    </w:tbl>
    <w:p>
      <w:pPr>
        <w:pStyle w:val="TextBody"/>
        <w:bidi w:val="0"/>
        <w:spacing w:before="0" w:after="0"/>
        <w:ind w:left="2879"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90"/>
        <w:gridCol w:w="17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c>
          <w:tcPr>
            <w:tcW w:w="17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Story Specifications</w:t>
            </w:r>
          </w:p>
        </w:tc>
      </w:tr>
    </w:tbl>
    <w:p>
      <w:pPr>
        <w:pStyle w:val="TextBody"/>
        <w:bidi w:val="0"/>
        <w:spacing w:before="0" w:after="0"/>
        <w:ind w:left="1870" w:right="0" w:hanging="0"/>
        <w:jc w:val="both"/>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17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3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Story Duration</w:t>
            </w:r>
          </w:p>
        </w:tc>
      </w:tr>
    </w:tbl>
    <w:p>
      <w:pPr>
        <w:pStyle w:val="TextBody"/>
        <w:bidi w:val="0"/>
        <w:spacing w:before="0" w:after="0"/>
        <w:ind w:left="2158" w:right="0" w:hanging="0"/>
        <w:jc w:val="both"/>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Photos: 5 seconds by default (user adjustable)</w:t>
            </w:r>
          </w:p>
        </w:tc>
      </w:tr>
    </w:tbl>
    <w:tbl>
      <w:tblPr>
        <w:tblW w:w="2313" w:type="dxa"/>
        <w:jc w:val="left"/>
        <w:tblInd w:w="0" w:type="dxa"/>
        <w:tblLayout w:type="fixed"/>
        <w:tblCellMar>
          <w:top w:w="0" w:type="dxa"/>
          <w:left w:w="0" w:type="dxa"/>
          <w:bottom w:w="0" w:type="dxa"/>
          <w:right w:w="0" w:type="dxa"/>
        </w:tblCellMar>
      </w:tblPr>
      <w:tblGrid>
        <w:gridCol w:w="38"/>
        <w:gridCol w:w="17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Videos: Up to 15 seconds</w:t>
            </w:r>
          </w:p>
        </w:tc>
      </w:tr>
    </w:tbl>
    <w:p>
      <w:pPr>
        <w:pStyle w:val="TextBody"/>
        <w:bidi w:val="0"/>
        <w:spacing w:before="0" w:after="0"/>
        <w:ind w:left="2879" w:right="0" w:hanging="0"/>
        <w:jc w:val="both"/>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17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3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Story Media Requirements</w:t>
            </w:r>
          </w:p>
        </w:tc>
      </w:tr>
    </w:tbl>
    <w:p>
      <w:pPr>
        <w:pStyle w:val="TextBody"/>
        <w:bidi w:val="0"/>
        <w:spacing w:before="0" w:after="0"/>
        <w:ind w:left="2158" w:right="0" w:hanging="0"/>
        <w:jc w:val="both"/>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Photos: Support for portrait, landscape, and square formats</w:t>
            </w:r>
          </w:p>
        </w:tc>
      </w:tr>
    </w:tbl>
    <w:tbl>
      <w:tblPr>
        <w:tblW w:w="4983" w:type="dxa"/>
        <w:jc w:val="left"/>
        <w:tblInd w:w="0" w:type="dxa"/>
        <w:tblLayout w:type="fixed"/>
        <w:tblCellMar>
          <w:top w:w="0" w:type="dxa"/>
          <w:left w:w="0" w:type="dxa"/>
          <w:bottom w:w="0" w:type="dxa"/>
          <w:right w:w="0" w:type="dxa"/>
        </w:tblCellMar>
      </w:tblPr>
      <w:tblGrid>
        <w:gridCol w:w="38"/>
        <w:gridCol w:w="17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Videos: Support for portrait, landscape, and square formats</w:t>
            </w:r>
          </w:p>
        </w:tc>
      </w:tr>
    </w:tbl>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Text-only: Colored backgrounds with typography options</w:t>
            </w:r>
          </w:p>
        </w:tc>
      </w:tr>
    </w:tbl>
    <w:p>
      <w:pPr>
        <w:pStyle w:val="TextBody"/>
        <w:bidi w:val="0"/>
        <w:spacing w:before="0" w:after="0"/>
        <w:ind w:left="2879" w:right="0" w:hanging="0"/>
        <w:jc w:val="both"/>
        <w:rPr>
          <w:caps w:val="false"/>
          <w:smallCaps w:val="false"/>
        </w:rPr>
      </w:pPr>
      <w:r>
        <w:rPr>
          <w:caps w:val="false"/>
          <w:smallCaps w:val="false"/>
        </w:rPr>
        <w:t> </w:t>
      </w:r>
    </w:p>
    <w:tbl>
      <w:tblPr>
        <w:tblW w:w="1773" w:type="dxa"/>
        <w:jc w:val="left"/>
        <w:tblInd w:w="0" w:type="dxa"/>
        <w:tblLayout w:type="fixed"/>
        <w:tblCellMar>
          <w:top w:w="0" w:type="dxa"/>
          <w:left w:w="0" w:type="dxa"/>
          <w:bottom w:w="0" w:type="dxa"/>
          <w:right w:w="0" w:type="dxa"/>
        </w:tblCellMar>
      </w:tblPr>
      <w:tblGrid>
        <w:gridCol w:w="38"/>
        <w:gridCol w:w="17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5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Story Interactions</w:t>
            </w:r>
          </w:p>
        </w:tc>
      </w:tr>
    </w:tbl>
    <w:p>
      <w:pPr>
        <w:pStyle w:val="TextBody"/>
        <w:bidi w:val="0"/>
        <w:spacing w:before="0" w:after="0"/>
        <w:ind w:left="2158" w:right="0" w:hanging="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Quick reactions (emoji responses)</w:t>
            </w:r>
          </w:p>
        </w:tc>
      </w:tr>
    </w:tbl>
    <w:tbl>
      <w:tblPr>
        <w:tblW w:w="1323" w:type="dxa"/>
        <w:jc w:val="left"/>
        <w:tblInd w:w="0" w:type="dxa"/>
        <w:tblLayout w:type="fixed"/>
        <w:tblCellMar>
          <w:top w:w="0" w:type="dxa"/>
          <w:left w:w="0" w:type="dxa"/>
          <w:bottom w:w="0" w:type="dxa"/>
          <w:right w:w="0" w:type="dxa"/>
        </w:tblCellMar>
      </w:tblPr>
      <w:tblGrid>
        <w:gridCol w:w="38"/>
        <w:gridCol w:w="170"/>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replies</w:t>
            </w:r>
          </w:p>
        </w:tc>
      </w:tr>
    </w:tbl>
    <w:tbl>
      <w:tblPr>
        <w:tblW w:w="1473" w:type="dxa"/>
        <w:jc w:val="left"/>
        <w:tblInd w:w="0" w:type="dxa"/>
        <w:tblLayout w:type="fixed"/>
        <w:tblCellMar>
          <w:top w:w="0" w:type="dxa"/>
          <w:left w:w="0" w:type="dxa"/>
          <w:bottom w:w="0" w:type="dxa"/>
          <w:right w:w="0" w:type="dxa"/>
        </w:tblCellMar>
      </w:tblPr>
      <w:tblGrid>
        <w:gridCol w:w="38"/>
        <w:gridCol w:w="17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Sharing to feed</w:t>
            </w:r>
          </w:p>
        </w:tc>
      </w:tr>
    </w:tbl>
    <w:p>
      <w:pPr>
        <w:pStyle w:val="TextBody"/>
        <w:bidi w:val="0"/>
        <w:spacing w:before="0" w:after="0"/>
        <w:ind w:left="2879" w:right="0" w:hanging="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290"/>
        <w:gridCol w:w="207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c>
          <w:tcPr>
            <w:tcW w:w="20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Comment Specifications</w:t>
            </w:r>
          </w:p>
        </w:tc>
      </w:tr>
    </w:tbl>
    <w:p>
      <w:pPr>
        <w:pStyle w:val="TextBody"/>
        <w:bidi w:val="0"/>
        <w:spacing w:before="0" w:after="0"/>
        <w:ind w:left="1870" w:right="0" w:hanging="0"/>
        <w:jc w:val="both"/>
        <w:rPr>
          <w:caps w:val="false"/>
          <w:smallCaps w:val="false"/>
        </w:rPr>
      </w:pPr>
      <w:r>
        <w:rPr>
          <w:caps w:val="false"/>
          <w:smallCaps w:val="false"/>
        </w:rPr>
        <w:t> </w:t>
      </w:r>
    </w:p>
    <w:tbl>
      <w:tblPr>
        <w:tblW w:w="1908" w:type="dxa"/>
        <w:jc w:val="left"/>
        <w:tblInd w:w="0" w:type="dxa"/>
        <w:tblLayout w:type="fixed"/>
        <w:tblCellMar>
          <w:top w:w="0" w:type="dxa"/>
          <w:left w:w="0" w:type="dxa"/>
          <w:bottom w:w="0" w:type="dxa"/>
          <w:right w:w="0" w:type="dxa"/>
        </w:tblCellMar>
      </w:tblPr>
      <w:tblGrid>
        <w:gridCol w:w="38"/>
        <w:gridCol w:w="170"/>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7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Comment Structure</w:t>
            </w:r>
          </w:p>
        </w:tc>
      </w:tr>
    </w:tbl>
    <w:p>
      <w:pPr>
        <w:pStyle w:val="TextBody"/>
        <w:bidi w:val="0"/>
        <w:spacing w:before="0" w:after="0"/>
        <w:ind w:left="2158" w:right="0" w:hanging="0"/>
        <w:jc w:val="both"/>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 Up to 300 characters</w:t>
            </w:r>
          </w:p>
        </w:tc>
      </w:tr>
    </w:tbl>
    <w:tbl>
      <w:tblPr>
        <w:tblW w:w="2988" w:type="dxa"/>
        <w:jc w:val="left"/>
        <w:tblInd w:w="0" w:type="dxa"/>
        <w:tblLayout w:type="fixed"/>
        <w:tblCellMar>
          <w:top w:w="0" w:type="dxa"/>
          <w:left w:w="0" w:type="dxa"/>
          <w:bottom w:w="0" w:type="dxa"/>
          <w:right w:w="0" w:type="dxa"/>
        </w:tblCellMar>
      </w:tblPr>
      <w:tblGrid>
        <w:gridCol w:w="38"/>
        <w:gridCol w:w="17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Optional single image attachment</w:t>
            </w:r>
          </w:p>
        </w:tc>
      </w:tr>
    </w:tbl>
    <w:tbl>
      <w:tblPr>
        <w:tblW w:w="2133" w:type="dxa"/>
        <w:jc w:val="left"/>
        <w:tblInd w:w="0" w:type="dxa"/>
        <w:tblLayout w:type="fixed"/>
        <w:tblCellMar>
          <w:top w:w="0" w:type="dxa"/>
          <w:left w:w="0" w:type="dxa"/>
          <w:bottom w:w="0" w:type="dxa"/>
          <w:right w:w="0" w:type="dxa"/>
        </w:tblCellMar>
      </w:tblPr>
      <w:tblGrid>
        <w:gridCol w:w="38"/>
        <w:gridCol w:w="170"/>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for @mentions</w:t>
            </w:r>
          </w:p>
        </w:tc>
      </w:tr>
    </w:tbl>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Nested replies (up to 3 levels deep)</w:t>
            </w:r>
          </w:p>
        </w:tc>
      </w:tr>
    </w:tbl>
    <w:p>
      <w:pPr>
        <w:pStyle w:val="TextBody"/>
        <w:bidi w:val="0"/>
        <w:spacing w:before="0" w:after="0"/>
        <w:ind w:left="2879"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17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2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Comment Sorting Options</w:t>
            </w:r>
          </w:p>
        </w:tc>
      </w:tr>
    </w:tbl>
    <w:p>
      <w:pPr>
        <w:pStyle w:val="TextBody"/>
        <w:bidi w:val="0"/>
        <w:spacing w:before="0" w:after="0"/>
        <w:ind w:left="2158" w:right="0" w:hanging="0"/>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17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relevant (default)</w:t>
            </w:r>
          </w:p>
        </w:tc>
      </w:tr>
    </w:tbl>
    <w:tbl>
      <w:tblPr>
        <w:tblW w:w="1188" w:type="dxa"/>
        <w:jc w:val="left"/>
        <w:tblInd w:w="0" w:type="dxa"/>
        <w:tblLayout w:type="fixed"/>
        <w:tblCellMar>
          <w:top w:w="0" w:type="dxa"/>
          <w:left w:w="0" w:type="dxa"/>
          <w:bottom w:w="0" w:type="dxa"/>
          <w:right w:w="0" w:type="dxa"/>
        </w:tblCellMar>
      </w:tblPr>
      <w:tblGrid>
        <w:gridCol w:w="38"/>
        <w:gridCol w:w="170"/>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Newest first</w:t>
            </w:r>
          </w:p>
        </w:tc>
      </w:tr>
    </w:tbl>
    <w:tbl>
      <w:tblPr>
        <w:tblW w:w="1128" w:type="dxa"/>
        <w:jc w:val="left"/>
        <w:tblInd w:w="0" w:type="dxa"/>
        <w:tblLayout w:type="fixed"/>
        <w:tblCellMar>
          <w:top w:w="0" w:type="dxa"/>
          <w:left w:w="0" w:type="dxa"/>
          <w:bottom w:w="0" w:type="dxa"/>
          <w:right w:w="0" w:type="dxa"/>
        </w:tblCellMar>
      </w:tblPr>
      <w:tblGrid>
        <w:gridCol w:w="38"/>
        <w:gridCol w:w="170"/>
        <w:gridCol w:w="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Oldest first</w:t>
            </w:r>
          </w:p>
        </w:tc>
      </w:tr>
    </w:tbl>
    <w:tbl>
      <w:tblPr>
        <w:tblW w:w="1128" w:type="dxa"/>
        <w:jc w:val="left"/>
        <w:tblInd w:w="0" w:type="dxa"/>
        <w:tblLayout w:type="fixed"/>
        <w:tblCellMar>
          <w:top w:w="0" w:type="dxa"/>
          <w:left w:w="0" w:type="dxa"/>
          <w:bottom w:w="0" w:type="dxa"/>
          <w:right w:w="0" w:type="dxa"/>
        </w:tblCellMar>
      </w:tblPr>
      <w:tblGrid>
        <w:gridCol w:w="38"/>
        <w:gridCol w:w="170"/>
        <w:gridCol w:w="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liked</w:t>
            </w:r>
          </w:p>
        </w:tc>
      </w:tr>
    </w:tbl>
    <w:p>
      <w:pPr>
        <w:pStyle w:val="TextBody"/>
        <w:bidi w:val="0"/>
        <w:spacing w:before="0" w:after="0"/>
        <w:ind w:left="287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879" w:right="0" w:hanging="36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185"/>
        <w:gridCol w:w="16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6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User Journey Maps</w:t>
            </w:r>
          </w:p>
        </w:tc>
      </w:tr>
    </w:tbl>
    <w:p>
      <w:pPr>
        <w:pStyle w:val="TextBody"/>
        <w:bidi w:val="0"/>
        <w:spacing w:before="0" w:after="0"/>
        <w:ind w:left="1816" w:right="0" w:hanging="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90"/>
        <w:gridCol w:w="380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w:t>
            </w:r>
          </w:p>
        </w:tc>
        <w:tc>
          <w:tcPr>
            <w:tcW w:w="3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User Onboarding to Social Engagement</w:t>
            </w:r>
          </w:p>
        </w:tc>
      </w:tr>
    </w:tbl>
    <w:p>
      <w:pPr>
        <w:pStyle w:val="TextBody"/>
        <w:bidi w:val="0"/>
        <w:spacing w:before="0" w:after="0"/>
        <w:ind w:left="187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Journey Touchpoints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170"/>
        <w:gridCol w:w="2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downloads the GXR App</w:t>
            </w:r>
          </w:p>
        </w:tc>
      </w:tr>
    </w:tbl>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creates an account (email/phone) or signs in with social</w:t>
            </w:r>
          </w:p>
        </w:tc>
      </w:tr>
    </w:tbl>
    <w:tbl>
      <w:tblPr>
        <w:tblW w:w="4188" w:type="dxa"/>
        <w:jc w:val="left"/>
        <w:tblInd w:w="0" w:type="dxa"/>
        <w:tblLayout w:type="fixed"/>
        <w:tblCellMar>
          <w:top w:w="0" w:type="dxa"/>
          <w:left w:w="0" w:type="dxa"/>
          <w:bottom w:w="0" w:type="dxa"/>
          <w:right w:w="0" w:type="dxa"/>
        </w:tblCellMar>
      </w:tblPr>
      <w:tblGrid>
        <w:gridCol w:w="38"/>
        <w:gridCol w:w="17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selects preferred teams, leagues, and players</w:t>
            </w:r>
          </w:p>
        </w:tc>
      </w:tr>
    </w:tbl>
    <w:tbl>
      <w:tblPr>
        <w:tblW w:w="4413" w:type="dxa"/>
        <w:jc w:val="left"/>
        <w:tblInd w:w="0" w:type="dxa"/>
        <w:tblLayout w:type="fixed"/>
        <w:tblCellMar>
          <w:top w:w="0" w:type="dxa"/>
          <w:left w:w="0" w:type="dxa"/>
          <w:bottom w:w="0" w:type="dxa"/>
          <w:right w:w="0" w:type="dxa"/>
        </w:tblCellMar>
      </w:tblPr>
      <w:tblGrid>
        <w:gridCol w:w="38"/>
        <w:gridCol w:w="17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is presented with suggested accounts to follow</w:t>
            </w:r>
          </w:p>
        </w:tc>
      </w:tr>
    </w:tbl>
    <w:tbl>
      <w:tblPr>
        <w:tblW w:w="3753" w:type="dxa"/>
        <w:jc w:val="left"/>
        <w:tblInd w:w="0" w:type="dxa"/>
        <w:tblLayout w:type="fixed"/>
        <w:tblCellMar>
          <w:top w:w="0" w:type="dxa"/>
          <w:left w:w="0" w:type="dxa"/>
          <w:bottom w:w="0" w:type="dxa"/>
          <w:right w:w="0" w:type="dxa"/>
        </w:tblCellMar>
      </w:tblPr>
      <w:tblGrid>
        <w:gridCol w:w="38"/>
        <w:gridCol w:w="170"/>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3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 personalized social feed is generated</w:t>
            </w:r>
          </w:p>
        </w:tc>
      </w:tr>
    </w:tbl>
    <w:p>
      <w:pPr>
        <w:pStyle w:val="TextBody"/>
        <w:bidi w:val="0"/>
        <w:spacing w:before="0" w:after="0"/>
        <w:ind w:left="2158" w:right="0" w:hanging="0"/>
        <w:jc w:val="both"/>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290"/>
        <w:gridCol w:w="257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w:t>
            </w:r>
          </w:p>
        </w:tc>
        <w:tc>
          <w:tcPr>
            <w:tcW w:w="25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Creating and Sharing Content</w:t>
            </w:r>
          </w:p>
        </w:tc>
      </w:tr>
    </w:tbl>
    <w:p>
      <w:pPr>
        <w:pStyle w:val="TextBody"/>
        <w:bidi w:val="0"/>
        <w:spacing w:before="0" w:after="0"/>
        <w:ind w:left="187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Journey Touchpoints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decides what type of content to create (post, story, poll)</w:t>
            </w:r>
          </w:p>
        </w:tc>
      </w:tr>
    </w:tbl>
    <w:tbl>
      <w:tblPr>
        <w:tblW w:w="4383" w:type="dxa"/>
        <w:jc w:val="left"/>
        <w:tblInd w:w="0" w:type="dxa"/>
        <w:tblLayout w:type="fixed"/>
        <w:tblCellMar>
          <w:top w:w="0" w:type="dxa"/>
          <w:left w:w="0" w:type="dxa"/>
          <w:bottom w:w="0" w:type="dxa"/>
          <w:right w:w="0" w:type="dxa"/>
        </w:tblCellMar>
      </w:tblPr>
      <w:tblGrid>
        <w:gridCol w:w="38"/>
        <w:gridCol w:w="17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creates the content using the appropriate tools</w:t>
            </w:r>
          </w:p>
        </w:tc>
      </w:tr>
    </w:tbl>
    <w:tbl>
      <w:tblPr>
        <w:tblW w:w="4308" w:type="dxa"/>
        <w:jc w:val="left"/>
        <w:tblInd w:w="0" w:type="dxa"/>
        <w:tblLayout w:type="fixed"/>
        <w:tblCellMar>
          <w:top w:w="0" w:type="dxa"/>
          <w:left w:w="0" w:type="dxa"/>
          <w:bottom w:w="0" w:type="dxa"/>
          <w:right w:w="0" w:type="dxa"/>
        </w:tblCellMar>
      </w:tblPr>
      <w:tblGrid>
        <w:gridCol w:w="38"/>
        <w:gridCol w:w="17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previews and edits the content before sharing</w:t>
            </w:r>
          </w:p>
        </w:tc>
      </w:tr>
    </w:tbl>
    <w:tbl>
      <w:tblPr>
        <w:tblW w:w="4233" w:type="dxa"/>
        <w:jc w:val="left"/>
        <w:tblInd w:w="0" w:type="dxa"/>
        <w:tblLayout w:type="fixed"/>
        <w:tblCellMar>
          <w:top w:w="0" w:type="dxa"/>
          <w:left w:w="0" w:type="dxa"/>
          <w:bottom w:w="0" w:type="dxa"/>
          <w:right w:w="0" w:type="dxa"/>
        </w:tblCellMar>
      </w:tblPr>
      <w:tblGrid>
        <w:gridCol w:w="38"/>
        <w:gridCol w:w="17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publishes the content to feed or specific hub</w:t>
            </w:r>
          </w:p>
        </w:tc>
      </w:tr>
    </w:tbl>
    <w:tbl>
      <w:tblPr>
        <w:tblW w:w="4548" w:type="dxa"/>
        <w:jc w:val="left"/>
        <w:tblInd w:w="0" w:type="dxa"/>
        <w:tblLayout w:type="fixed"/>
        <w:tblCellMar>
          <w:top w:w="0" w:type="dxa"/>
          <w:left w:w="0" w:type="dxa"/>
          <w:bottom w:w="0" w:type="dxa"/>
          <w:right w:w="0" w:type="dxa"/>
        </w:tblCellMar>
      </w:tblPr>
      <w:tblGrid>
        <w:gridCol w:w="38"/>
        <w:gridCol w:w="170"/>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4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engages with feedback (likes, comments, shares)</w:t>
            </w:r>
          </w:p>
        </w:tc>
      </w:tr>
    </w:tbl>
    <w:p>
      <w:pPr>
        <w:pStyle w:val="TextBody"/>
        <w:bidi w:val="0"/>
        <w:spacing w:before="0" w:after="0"/>
        <w:ind w:left="2158"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290"/>
        <w:gridCol w:w="254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w:t>
            </w:r>
          </w:p>
        </w:tc>
        <w:tc>
          <w:tcPr>
            <w:tcW w:w="25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Match Day Social Experience</w:t>
            </w:r>
          </w:p>
        </w:tc>
      </w:tr>
    </w:tbl>
    <w:p>
      <w:pPr>
        <w:pStyle w:val="TextBody"/>
        <w:bidi w:val="0"/>
        <w:spacing w:before="0" w:after="0"/>
        <w:ind w:left="187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Journey Touchpoints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4128" w:type="dxa"/>
        <w:jc w:val="left"/>
        <w:tblInd w:w="0" w:type="dxa"/>
        <w:tblLayout w:type="fixed"/>
        <w:tblCellMar>
          <w:top w:w="0" w:type="dxa"/>
          <w:left w:w="0" w:type="dxa"/>
          <w:bottom w:w="0" w:type="dxa"/>
          <w:right w:w="0" w:type="dxa"/>
        </w:tblCellMar>
      </w:tblPr>
      <w:tblGrid>
        <w:gridCol w:w="38"/>
        <w:gridCol w:w="17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browses pre-match content and discussions</w:t>
            </w:r>
          </w:p>
        </w:tc>
      </w:tr>
    </w:tbl>
    <w:tbl>
      <w:tblPr>
        <w:tblW w:w="2943" w:type="dxa"/>
        <w:jc w:val="left"/>
        <w:tblInd w:w="0" w:type="dxa"/>
        <w:tblLayout w:type="fixed"/>
        <w:tblCellMar>
          <w:top w:w="0" w:type="dxa"/>
          <w:left w:w="0" w:type="dxa"/>
          <w:bottom w:w="0" w:type="dxa"/>
          <w:right w:w="0" w:type="dxa"/>
        </w:tblCellMar>
      </w:tblPr>
      <w:tblGrid>
        <w:gridCol w:w="38"/>
        <w:gridCol w:w="17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joins the match-specific hub</w:t>
            </w:r>
          </w:p>
        </w:tc>
      </w:tr>
    </w:tbl>
    <w:tbl>
      <w:tblPr>
        <w:tblW w:w="4623" w:type="dxa"/>
        <w:jc w:val="left"/>
        <w:tblInd w:w="0" w:type="dxa"/>
        <w:tblLayout w:type="fixed"/>
        <w:tblCellMar>
          <w:top w:w="0" w:type="dxa"/>
          <w:left w:w="0" w:type="dxa"/>
          <w:bottom w:w="0" w:type="dxa"/>
          <w:right w:w="0" w:type="dxa"/>
        </w:tblCellMar>
      </w:tblPr>
      <w:tblGrid>
        <w:gridCol w:w="38"/>
        <w:gridCol w:w="17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watches match through the live streaming feature</w:t>
            </w:r>
          </w:p>
        </w:tc>
      </w:tr>
    </w:tbl>
    <w:tbl>
      <w:tblPr>
        <w:tblW w:w="4608" w:type="dxa"/>
        <w:jc w:val="left"/>
        <w:tblInd w:w="0" w:type="dxa"/>
        <w:tblLayout w:type="fixed"/>
        <w:tblCellMar>
          <w:top w:w="0" w:type="dxa"/>
          <w:left w:w="0" w:type="dxa"/>
          <w:bottom w:w="0" w:type="dxa"/>
          <w:right w:w="0" w:type="dxa"/>
        </w:tblCellMar>
      </w:tblPr>
      <w:tblGrid>
        <w:gridCol w:w="38"/>
        <w:gridCol w:w="17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participates in post-match reactions and analyses</w:t>
            </w:r>
          </w:p>
        </w:tc>
      </w:tr>
    </w:tbl>
    <w:p>
      <w:pPr>
        <w:pStyle w:val="TextBody"/>
        <w:bidi w:val="0"/>
        <w:spacing w:before="0" w:after="0"/>
        <w:ind w:left="2158" w:right="0" w:hanging="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185"/>
        <w:gridCol w:w="290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9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Feature Requirements by Priority</w:t>
            </w:r>
          </w:p>
        </w:tc>
      </w:tr>
    </w:tbl>
    <w:p>
      <w:pPr>
        <w:pStyle w:val="TextBody"/>
        <w:bidi w:val="0"/>
        <w:spacing w:before="0" w:after="0"/>
        <w:ind w:left="1816" w:right="0" w:hanging="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290"/>
        <w:gridCol w:w="234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23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Must-Have Features (MVP)</w:t>
            </w:r>
          </w:p>
        </w:tc>
      </w:tr>
    </w:tbl>
    <w:p>
      <w:pPr>
        <w:pStyle w:val="TextBody"/>
        <w:bidi w:val="0"/>
        <w:spacing w:before="0" w:after="0"/>
        <w:ind w:left="1870" w:right="0" w:hanging="0"/>
        <w:jc w:val="both"/>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17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Social Feed</w:t>
            </w:r>
          </w:p>
        </w:tc>
      </w:tr>
    </w:tbl>
    <w:p>
      <w:pPr>
        <w:pStyle w:val="TextBody"/>
        <w:bidi w:val="0"/>
        <w:spacing w:before="0" w:after="0"/>
        <w:ind w:left="2158" w:right="0" w:hanging="0"/>
        <w:jc w:val="both"/>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feed functionality with the three tab types (For You, Following, Trending)</w:t>
            </w:r>
          </w:p>
        </w:tc>
      </w:tr>
    </w:tbl>
    <w:tbl>
      <w:tblPr>
        <w:tblW w:w="3453" w:type="dxa"/>
        <w:jc w:val="left"/>
        <w:tblInd w:w="0" w:type="dxa"/>
        <w:tblLayout w:type="fixed"/>
        <w:tblCellMar>
          <w:top w:w="0" w:type="dxa"/>
          <w:left w:w="0" w:type="dxa"/>
          <w:bottom w:w="0" w:type="dxa"/>
          <w:right w:w="0" w:type="dxa"/>
        </w:tblCellMar>
      </w:tblPr>
      <w:tblGrid>
        <w:gridCol w:w="38"/>
        <w:gridCol w:w="17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post types (text, image, video)</w:t>
            </w:r>
          </w:p>
        </w:tc>
      </w:tr>
    </w:tbl>
    <w:tbl>
      <w:tblPr>
        <w:tblW w:w="4443" w:type="dxa"/>
        <w:jc w:val="left"/>
        <w:tblInd w:w="0" w:type="dxa"/>
        <w:tblLayout w:type="fixed"/>
        <w:tblCellMar>
          <w:top w:w="0" w:type="dxa"/>
          <w:left w:w="0" w:type="dxa"/>
          <w:bottom w:w="0" w:type="dxa"/>
          <w:right w:w="0" w:type="dxa"/>
        </w:tblCellMar>
      </w:tblPr>
      <w:tblGrid>
        <w:gridCol w:w="38"/>
        <w:gridCol w:w="17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interaction capabilities (like, comment, share)</w:t>
            </w:r>
          </w:p>
        </w:tc>
      </w:tr>
    </w:tbl>
    <w:p>
      <w:pPr>
        <w:pStyle w:val="TextBody"/>
        <w:bidi w:val="0"/>
        <w:spacing w:before="0" w:after="0"/>
        <w:ind w:left="2879" w:right="0" w:hanging="0"/>
        <w:jc w:val="both"/>
        <w:rPr>
          <w:caps w:val="false"/>
          <w:smallCaps w:val="false"/>
        </w:rPr>
      </w:pPr>
      <w:r>
        <w:rPr>
          <w:caps w:val="false"/>
          <w:smallCaps w:val="false"/>
        </w:rPr>
        <w:t> </w:t>
      </w:r>
    </w:p>
    <w:tbl>
      <w:tblPr>
        <w:tblW w:w="1338" w:type="dxa"/>
        <w:jc w:val="left"/>
        <w:tblInd w:w="0" w:type="dxa"/>
        <w:tblLayout w:type="fixed"/>
        <w:tblCellMar>
          <w:top w:w="0" w:type="dxa"/>
          <w:left w:w="0" w:type="dxa"/>
          <w:bottom w:w="0" w:type="dxa"/>
          <w:right w:w="0" w:type="dxa"/>
        </w:tblCellMar>
      </w:tblPr>
      <w:tblGrid>
        <w:gridCol w:w="38"/>
        <w:gridCol w:w="17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1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User Profiles</w:t>
            </w:r>
          </w:p>
        </w:tc>
      </w:tr>
    </w:tbl>
    <w:p>
      <w:pPr>
        <w:pStyle w:val="TextBody"/>
        <w:bidi w:val="0"/>
        <w:spacing w:before="0" w:after="0"/>
        <w:ind w:left="2158" w:right="0" w:hanging="0"/>
        <w:jc w:val="both"/>
        <w:rPr>
          <w:caps w:val="false"/>
          <w:smallCaps w:val="false"/>
        </w:rPr>
      </w:pPr>
      <w:r>
        <w:rPr>
          <w:caps w:val="false"/>
          <w:smallCaps w:val="false"/>
        </w:rPr>
        <w:t> </w:t>
      </w:r>
    </w:p>
    <w:tbl>
      <w:tblPr>
        <w:tblW w:w="2463" w:type="dxa"/>
        <w:jc w:val="left"/>
        <w:tblInd w:w="0" w:type="dxa"/>
        <w:tblLayout w:type="fixed"/>
        <w:tblCellMar>
          <w:top w:w="0" w:type="dxa"/>
          <w:left w:w="0" w:type="dxa"/>
          <w:bottom w:w="0" w:type="dxa"/>
          <w:right w:w="0" w:type="dxa"/>
        </w:tblCellMar>
      </w:tblPr>
      <w:tblGrid>
        <w:gridCol w:w="38"/>
        <w:gridCol w:w="17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Profile viewing and editing</w:t>
            </w:r>
          </w:p>
        </w:tc>
      </w:tr>
    </w:tbl>
    <w:tbl>
      <w:tblPr>
        <w:tblW w:w="2718" w:type="dxa"/>
        <w:jc w:val="left"/>
        <w:tblInd w:w="0" w:type="dxa"/>
        <w:tblLayout w:type="fixed"/>
        <w:tblCellMar>
          <w:top w:w="0" w:type="dxa"/>
          <w:left w:w="0" w:type="dxa"/>
          <w:bottom w:w="0" w:type="dxa"/>
          <w:right w:w="0" w:type="dxa"/>
        </w:tblCellMar>
      </w:tblPr>
      <w:tblGrid>
        <w:gridCol w:w="38"/>
        <w:gridCol w:w="170"/>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Follow/unfollow functionality</w:t>
            </w:r>
          </w:p>
        </w:tc>
      </w:tr>
    </w:tbl>
    <w:tbl>
      <w:tblPr>
        <w:tblW w:w="1623" w:type="dxa"/>
        <w:jc w:val="left"/>
        <w:tblInd w:w="0" w:type="dxa"/>
        <w:tblLayout w:type="fixed"/>
        <w:tblCellMar>
          <w:top w:w="0" w:type="dxa"/>
          <w:left w:w="0" w:type="dxa"/>
          <w:bottom w:w="0" w:type="dxa"/>
          <w:right w:w="0" w:type="dxa"/>
        </w:tblCellMar>
      </w:tblPr>
      <w:tblGrid>
        <w:gridCol w:w="38"/>
        <w:gridCol w:w="17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user search</w:t>
            </w:r>
          </w:p>
        </w:tc>
      </w:tr>
    </w:tbl>
    <w:p>
      <w:pPr>
        <w:pStyle w:val="TextBody"/>
        <w:bidi w:val="0"/>
        <w:spacing w:before="0" w:after="0"/>
        <w:ind w:left="287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879" w:right="0" w:hanging="360"/>
        <w:jc w:val="both"/>
        <w:rPr>
          <w:caps w:val="false"/>
          <w:smallCaps w:val="false"/>
        </w:rPr>
      </w:pPr>
      <w:r>
        <w:rPr>
          <w:caps w:val="false"/>
          <w:smallCaps w:val="false"/>
        </w:rPr>
        <w:t> </w:t>
      </w:r>
    </w:p>
    <w:tbl>
      <w:tblPr>
        <w:tblW w:w="678" w:type="dxa"/>
        <w:jc w:val="left"/>
        <w:tblInd w:w="0" w:type="dxa"/>
        <w:tblLayout w:type="fixed"/>
        <w:tblCellMar>
          <w:top w:w="0" w:type="dxa"/>
          <w:left w:w="0" w:type="dxa"/>
          <w:bottom w:w="0" w:type="dxa"/>
          <w:right w:w="0" w:type="dxa"/>
        </w:tblCellMar>
      </w:tblPr>
      <w:tblGrid>
        <w:gridCol w:w="38"/>
        <w:gridCol w:w="170"/>
        <w:gridCol w:w="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Hubs</w:t>
            </w:r>
          </w:p>
        </w:tc>
      </w:tr>
    </w:tbl>
    <w:p>
      <w:pPr>
        <w:pStyle w:val="TextBody"/>
        <w:bidi w:val="0"/>
        <w:spacing w:before="0" w:after="0"/>
        <w:ind w:left="2158" w:right="0" w:hanging="0"/>
        <w:jc w:val="both"/>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17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discovery and joining</w:t>
            </w:r>
          </w:p>
        </w:tc>
      </w:tr>
    </w:tbl>
    <w:tbl>
      <w:tblPr>
        <w:tblW w:w="2403" w:type="dxa"/>
        <w:jc w:val="left"/>
        <w:tblInd w:w="0" w:type="dxa"/>
        <w:tblLayout w:type="fixed"/>
        <w:tblCellMar>
          <w:top w:w="0" w:type="dxa"/>
          <w:left w:w="0" w:type="dxa"/>
          <w:bottom w:w="0" w:type="dxa"/>
          <w:right w:w="0" w:type="dxa"/>
        </w:tblCellMar>
      </w:tblPr>
      <w:tblGrid>
        <w:gridCol w:w="38"/>
        <w:gridCol w:w="17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Hub-specific content feeds</w:t>
            </w:r>
          </w:p>
        </w:tc>
      </w:tr>
    </w:tbl>
    <w:tbl>
      <w:tblPr>
        <w:tblW w:w="2493" w:type="dxa"/>
        <w:jc w:val="left"/>
        <w:tblInd w:w="0" w:type="dxa"/>
        <w:tblLayout w:type="fixed"/>
        <w:tblCellMar>
          <w:top w:w="0" w:type="dxa"/>
          <w:left w:w="0" w:type="dxa"/>
          <w:bottom w:w="0" w:type="dxa"/>
          <w:right w:w="0" w:type="dxa"/>
        </w:tblCellMar>
      </w:tblPr>
      <w:tblGrid>
        <w:gridCol w:w="38"/>
        <w:gridCol w:w="17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team and league hubs</w:t>
            </w:r>
          </w:p>
        </w:tc>
      </w:tr>
    </w:tbl>
    <w:p>
      <w:pPr>
        <w:pStyle w:val="TextBody"/>
        <w:bidi w:val="0"/>
        <w:spacing w:before="0" w:after="0"/>
        <w:ind w:left="2879" w:right="0" w:hanging="0"/>
        <w:jc w:val="both"/>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17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4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Messaging</w:t>
            </w:r>
          </w:p>
        </w:tc>
      </w:tr>
    </w:tbl>
    <w:p>
      <w:pPr>
        <w:pStyle w:val="TextBody"/>
        <w:bidi w:val="0"/>
        <w:spacing w:before="0" w:after="0"/>
        <w:ind w:left="2158" w:right="0" w:hanging="0"/>
        <w:jc w:val="both"/>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17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One-to-one messaging</w:t>
            </w:r>
          </w:p>
        </w:tc>
      </w:tr>
    </w:tbl>
    <w:tbl>
      <w:tblPr>
        <w:tblW w:w="2163" w:type="dxa"/>
        <w:jc w:val="left"/>
        <w:tblInd w:w="0" w:type="dxa"/>
        <w:tblLayout w:type="fixed"/>
        <w:tblCellMar>
          <w:top w:w="0" w:type="dxa"/>
          <w:left w:w="0" w:type="dxa"/>
          <w:bottom w:w="0" w:type="dxa"/>
          <w:right w:w="0" w:type="dxa"/>
        </w:tblCellMar>
      </w:tblPr>
      <w:tblGrid>
        <w:gridCol w:w="38"/>
        <w:gridCol w:w="17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 and image support</w:t>
            </w:r>
          </w:p>
        </w:tc>
      </w:tr>
    </w:tbl>
    <w:tbl>
      <w:tblPr>
        <w:tblW w:w="1953" w:type="dxa"/>
        <w:jc w:val="left"/>
        <w:tblInd w:w="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Conversation history</w:t>
            </w:r>
          </w:p>
        </w:tc>
      </w:tr>
    </w:tbl>
    <w:p>
      <w:pPr>
        <w:pStyle w:val="TextBody"/>
        <w:bidi w:val="0"/>
        <w:spacing w:before="0" w:after="0"/>
        <w:ind w:left="2879" w:right="0" w:hanging="0"/>
        <w:jc w:val="both"/>
        <w:rPr>
          <w:caps w:val="false"/>
          <w:smallCaps w:val="false"/>
        </w:rPr>
      </w:pPr>
      <w:r>
        <w:rPr>
          <w:caps w:val="false"/>
          <w:smallCaps w:val="false"/>
        </w:rPr>
        <w:t> </w:t>
      </w:r>
    </w:p>
    <w:tbl>
      <w:tblPr>
        <w:tblW w:w="1398" w:type="dxa"/>
        <w:jc w:val="left"/>
        <w:tblInd w:w="0" w:type="dxa"/>
        <w:tblLayout w:type="fixed"/>
        <w:tblCellMar>
          <w:top w:w="0" w:type="dxa"/>
          <w:left w:w="0" w:type="dxa"/>
          <w:bottom w:w="0" w:type="dxa"/>
          <w:right w:w="0" w:type="dxa"/>
        </w:tblCellMar>
      </w:tblPr>
      <w:tblGrid>
        <w:gridCol w:w="38"/>
        <w:gridCol w:w="17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1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 Creation</w:t>
            </w:r>
          </w:p>
        </w:tc>
      </w:tr>
    </w:tbl>
    <w:p>
      <w:pPr>
        <w:pStyle w:val="TextBody"/>
        <w:bidi w:val="0"/>
        <w:spacing w:before="0" w:after="0"/>
        <w:ind w:left="2158" w:right="0" w:hanging="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 posts with media attachment</w:t>
            </w:r>
          </w:p>
        </w:tc>
      </w:tr>
    </w:tbl>
    <w:tbl>
      <w:tblPr>
        <w:tblW w:w="2253" w:type="dxa"/>
        <w:jc w:val="left"/>
        <w:tblInd w:w="0" w:type="dxa"/>
        <w:tblLayout w:type="fixed"/>
        <w:tblCellMar>
          <w:top w:w="0" w:type="dxa"/>
          <w:left w:w="0" w:type="dxa"/>
          <w:bottom w:w="0" w:type="dxa"/>
          <w:right w:w="0" w:type="dxa"/>
        </w:tblCellMar>
      </w:tblPr>
      <w:tblGrid>
        <w:gridCol w:w="38"/>
        <w:gridCol w:w="17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formatting options</w:t>
            </w:r>
          </w:p>
        </w:tc>
      </w:tr>
    </w:tbl>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Posting to main feed or hubs</w:t>
            </w:r>
          </w:p>
        </w:tc>
      </w:tr>
    </w:tbl>
    <w:p>
      <w:pPr>
        <w:pStyle w:val="TextBody"/>
        <w:bidi w:val="0"/>
        <w:spacing w:before="0" w:after="0"/>
        <w:ind w:left="2879" w:right="0" w:hanging="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290"/>
        <w:gridCol w:w="19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w:t>
            </w:r>
          </w:p>
        </w:tc>
        <w:tc>
          <w:tcPr>
            <w:tcW w:w="19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High-Priority Features</w:t>
            </w:r>
          </w:p>
        </w:tc>
      </w:tr>
    </w:tbl>
    <w:p>
      <w:pPr>
        <w:pStyle w:val="TextBody"/>
        <w:bidi w:val="0"/>
        <w:spacing w:before="0" w:after="0"/>
        <w:ind w:left="1870" w:right="0" w:hanging="0"/>
        <w:jc w:val="both"/>
        <w:rPr>
          <w:caps w:val="false"/>
          <w:smallCaps w:val="false"/>
        </w:rPr>
      </w:pPr>
      <w:r>
        <w:rPr>
          <w:caps w:val="false"/>
          <w:smallCaps w:val="false"/>
        </w:rPr>
        <w:t> </w:t>
      </w:r>
    </w:p>
    <w:tbl>
      <w:tblPr>
        <w:tblW w:w="828" w:type="dxa"/>
        <w:jc w:val="left"/>
        <w:tblInd w:w="0" w:type="dxa"/>
        <w:tblLayout w:type="fixed"/>
        <w:tblCellMar>
          <w:top w:w="0" w:type="dxa"/>
          <w:left w:w="0" w:type="dxa"/>
          <w:bottom w:w="0" w:type="dxa"/>
          <w:right w:w="0" w:type="dxa"/>
        </w:tblCellMar>
      </w:tblPr>
      <w:tblGrid>
        <w:gridCol w:w="38"/>
        <w:gridCol w:w="170"/>
        <w:gridCol w:w="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Stories</w:t>
            </w:r>
          </w:p>
        </w:tc>
      </w:tr>
    </w:tbl>
    <w:p>
      <w:pPr>
        <w:pStyle w:val="TextBody"/>
        <w:bidi w:val="0"/>
        <w:spacing w:before="0" w:after="0"/>
        <w:ind w:left="2158" w:right="0" w:hanging="0"/>
        <w:jc w:val="both"/>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170"/>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Story creation and viewing</w:t>
            </w:r>
          </w:p>
        </w:tc>
      </w:tr>
    </w:tbl>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24-hour expiration logic</w:t>
            </w:r>
          </w:p>
        </w:tc>
      </w:tr>
    </w:tbl>
    <w:tbl>
      <w:tblPr>
        <w:tblW w:w="2898" w:type="dxa"/>
        <w:jc w:val="left"/>
        <w:tblInd w:w="0" w:type="dxa"/>
        <w:tblLayout w:type="fixed"/>
        <w:tblCellMar>
          <w:top w:w="0" w:type="dxa"/>
          <w:left w:w="0" w:type="dxa"/>
          <w:bottom w:w="0" w:type="dxa"/>
          <w:right w:w="0" w:type="dxa"/>
        </w:tblCellMar>
      </w:tblPr>
      <w:tblGrid>
        <w:gridCol w:w="38"/>
        <w:gridCol w:w="17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interaction (view tracking)</w:t>
            </w:r>
          </w:p>
        </w:tc>
      </w:tr>
    </w:tbl>
    <w:p>
      <w:pPr>
        <w:pStyle w:val="TextBody"/>
        <w:bidi w:val="0"/>
        <w:spacing w:before="0" w:after="0"/>
        <w:ind w:left="2879" w:right="0" w:hanging="0"/>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3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Enhanced Feed</w:t>
            </w:r>
          </w:p>
        </w:tc>
      </w:tr>
    </w:tbl>
    <w:p>
      <w:pPr>
        <w:pStyle w:val="TextBody"/>
        <w:bidi w:val="0"/>
        <w:spacing w:before="0" w:after="0"/>
        <w:ind w:left="2158" w:right="0" w:hanging="0"/>
        <w:jc w:val="both"/>
        <w:rPr>
          <w:caps w:val="false"/>
          <w:smallCaps w:val="false"/>
        </w:rPr>
      </w:pPr>
      <w:r>
        <w:rPr>
          <w:caps w:val="false"/>
          <w:smallCaps w:val="false"/>
        </w:rPr>
        <w:t> </w:t>
      </w:r>
    </w:p>
    <w:tbl>
      <w:tblPr>
        <w:tblW w:w="2148" w:type="dxa"/>
        <w:jc w:val="left"/>
        <w:tblInd w:w="0" w:type="dxa"/>
        <w:tblLayout w:type="fixed"/>
        <w:tblCellMar>
          <w:top w:w="0" w:type="dxa"/>
          <w:left w:w="0" w:type="dxa"/>
          <w:bottom w:w="0" w:type="dxa"/>
          <w:right w:w="0" w:type="dxa"/>
        </w:tblCellMar>
      </w:tblPr>
      <w:tblGrid>
        <w:gridCol w:w="38"/>
        <w:gridCol w:w="170"/>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carousel support</w:t>
            </w:r>
          </w:p>
        </w:tc>
      </w:tr>
    </w:tbl>
    <w:tbl>
      <w:tblPr>
        <w:tblW w:w="1563" w:type="dxa"/>
        <w:jc w:val="left"/>
        <w:tblInd w:w="0" w:type="dxa"/>
        <w:tblLayout w:type="fixed"/>
        <w:tblCellMar>
          <w:top w:w="0" w:type="dxa"/>
          <w:left w:w="0" w:type="dxa"/>
          <w:bottom w:w="0" w:type="dxa"/>
          <w:right w:w="0" w:type="dxa"/>
        </w:tblCellMar>
      </w:tblPr>
      <w:tblGrid>
        <w:gridCol w:w="38"/>
        <w:gridCol w:w="17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 auto-play</w:t>
            </w:r>
          </w:p>
        </w:tc>
      </w:tr>
    </w:tbl>
    <w:tbl>
      <w:tblPr>
        <w:tblW w:w="2598" w:type="dxa"/>
        <w:jc w:val="left"/>
        <w:tblInd w:w="0" w:type="dxa"/>
        <w:tblLayout w:type="fixed"/>
        <w:tblCellMar>
          <w:top w:w="0" w:type="dxa"/>
          <w:left w:w="0" w:type="dxa"/>
          <w:bottom w:w="0" w:type="dxa"/>
          <w:right w:w="0" w:type="dxa"/>
        </w:tblCellMar>
      </w:tblPr>
      <w:tblGrid>
        <w:gridCol w:w="38"/>
        <w:gridCol w:w="17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Advanced sorting algorithms</w:t>
            </w:r>
          </w:p>
        </w:tc>
      </w:tr>
    </w:tbl>
    <w:p>
      <w:pPr>
        <w:pStyle w:val="TextBody"/>
        <w:bidi w:val="0"/>
        <w:spacing w:before="0" w:after="0"/>
        <w:ind w:left="2879" w:right="0" w:hanging="0"/>
        <w:jc w:val="both"/>
        <w:rPr>
          <w:caps w:val="false"/>
          <w:smallCaps w:val="false"/>
        </w:rPr>
      </w:pPr>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38"/>
        <w:gridCol w:w="170"/>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Comments &amp; Replies</w:t>
            </w:r>
          </w:p>
        </w:tc>
      </w:tr>
    </w:tbl>
    <w:p>
      <w:pPr>
        <w:pStyle w:val="TextBody"/>
        <w:bidi w:val="0"/>
        <w:spacing w:before="0" w:after="0"/>
        <w:ind w:left="2158" w:right="0" w:hanging="0"/>
        <w:jc w:val="both"/>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17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Nested comment replies</w:t>
            </w:r>
          </w:p>
        </w:tc>
      </w:tr>
    </w:tbl>
    <w:tbl>
      <w:tblPr>
        <w:tblW w:w="1473" w:type="dxa"/>
        <w:jc w:val="left"/>
        <w:tblInd w:w="0" w:type="dxa"/>
        <w:tblLayout w:type="fixed"/>
        <w:tblCellMar>
          <w:top w:w="0" w:type="dxa"/>
          <w:left w:w="0" w:type="dxa"/>
          <w:bottom w:w="0" w:type="dxa"/>
          <w:right w:w="0" w:type="dxa"/>
        </w:tblCellMar>
      </w:tblPr>
      <w:tblGrid>
        <w:gridCol w:w="38"/>
        <w:gridCol w:w="17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 likes</w:t>
            </w:r>
          </w:p>
        </w:tc>
      </w:tr>
    </w:tbl>
    <w:tbl>
      <w:tblPr>
        <w:tblW w:w="2253" w:type="dxa"/>
        <w:jc w:val="left"/>
        <w:tblInd w:w="0" w:type="dxa"/>
        <w:tblLayout w:type="fixed"/>
        <w:tblCellMar>
          <w:top w:w="0" w:type="dxa"/>
          <w:left w:w="0" w:type="dxa"/>
          <w:bottom w:w="0" w:type="dxa"/>
          <w:right w:w="0" w:type="dxa"/>
        </w:tblCellMar>
      </w:tblPr>
      <w:tblGrid>
        <w:gridCol w:w="38"/>
        <w:gridCol w:w="17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@mentions in comments</w:t>
            </w:r>
          </w:p>
        </w:tc>
      </w:tr>
    </w:tbl>
    <w:p>
      <w:pPr>
        <w:pStyle w:val="TextBody"/>
        <w:bidi w:val="0"/>
        <w:spacing w:before="0" w:after="0"/>
        <w:ind w:left="2879" w:right="0" w:hanging="0"/>
        <w:jc w:val="both"/>
        <w:rPr>
          <w:caps w:val="false"/>
          <w:smallCaps w:val="false"/>
        </w:rPr>
      </w:pPr>
      <w:r>
        <w:rPr>
          <w:caps w:val="false"/>
          <w:smallCaps w:val="false"/>
        </w:rPr>
        <w:t> </w:t>
      </w:r>
    </w:p>
    <w:tbl>
      <w:tblPr>
        <w:tblW w:w="1983" w:type="dxa"/>
        <w:jc w:val="left"/>
        <w:tblInd w:w="0" w:type="dxa"/>
        <w:tblLayout w:type="fixed"/>
        <w:tblCellMar>
          <w:top w:w="0" w:type="dxa"/>
          <w:left w:w="0" w:type="dxa"/>
          <w:bottom w:w="0" w:type="dxa"/>
          <w:right w:w="0" w:type="dxa"/>
        </w:tblCellMar>
      </w:tblPr>
      <w:tblGrid>
        <w:gridCol w:w="38"/>
        <w:gridCol w:w="170"/>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Match-Specific Hubs</w:t>
            </w:r>
          </w:p>
        </w:tc>
      </w:tr>
    </w:tbl>
    <w:p>
      <w:pPr>
        <w:pStyle w:val="TextBody"/>
        <w:bidi w:val="0"/>
        <w:spacing w:before="0" w:after="0"/>
        <w:ind w:left="2158" w:right="0" w:hanging="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17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Temporary hubs for live matches</w:t>
            </w:r>
          </w:p>
        </w:tc>
      </w:tr>
    </w:tbl>
    <w:tbl>
      <w:tblPr>
        <w:tblW w:w="2718" w:type="dxa"/>
        <w:jc w:val="left"/>
        <w:tblInd w:w="0" w:type="dxa"/>
        <w:tblLayout w:type="fixed"/>
        <w:tblCellMar>
          <w:top w:w="0" w:type="dxa"/>
          <w:left w:w="0" w:type="dxa"/>
          <w:bottom w:w="0" w:type="dxa"/>
          <w:right w:w="0" w:type="dxa"/>
        </w:tblCellMar>
      </w:tblPr>
      <w:tblGrid>
        <w:gridCol w:w="38"/>
        <w:gridCol w:w="170"/>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Match information integration</w:t>
            </w:r>
          </w:p>
        </w:tc>
      </w:tr>
    </w:tbl>
    <w:p>
      <w:pPr>
        <w:pStyle w:val="TextBody"/>
        <w:bidi w:val="0"/>
        <w:spacing w:before="0" w:after="0"/>
        <w:ind w:left="2879" w:right="0" w:hanging="0"/>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290"/>
        <w:gridCol w:w="19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w:t>
            </w:r>
          </w:p>
        </w:tc>
        <w:tc>
          <w:tcPr>
            <w:tcW w:w="19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Nice-to-Have Features</w:t>
            </w:r>
          </w:p>
        </w:tc>
      </w:tr>
    </w:tbl>
    <w:p>
      <w:pPr>
        <w:pStyle w:val="TextBody"/>
        <w:bidi w:val="0"/>
        <w:spacing w:before="0" w:after="0"/>
        <w:ind w:left="1870" w:right="0" w:hanging="0"/>
        <w:jc w:val="both"/>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5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Advanced Stories</w:t>
            </w:r>
          </w:p>
        </w:tc>
      </w:tr>
    </w:tbl>
    <w:p>
      <w:pPr>
        <w:pStyle w:val="TextBody"/>
        <w:bidi w:val="0"/>
        <w:spacing w:before="0" w:after="0"/>
        <w:ind w:left="2158" w:right="0" w:hanging="0"/>
        <w:jc w:val="both"/>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17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Interactive poll stories</w:t>
            </w:r>
          </w:p>
        </w:tc>
      </w:tr>
    </w:tbl>
    <w:tbl>
      <w:tblPr>
        <w:tblW w:w="1653" w:type="dxa"/>
        <w:jc w:val="left"/>
        <w:tblInd w:w="0" w:type="dxa"/>
        <w:tblLayout w:type="fixed"/>
        <w:tblCellMar>
          <w:top w:w="0" w:type="dxa"/>
          <w:left w:w="0" w:type="dxa"/>
          <w:bottom w:w="0" w:type="dxa"/>
          <w:right w:w="0" w:type="dxa"/>
        </w:tblCellMar>
      </w:tblPr>
      <w:tblGrid>
        <w:gridCol w:w="38"/>
        <w:gridCol w:w="17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Location tagging</w:t>
            </w:r>
          </w:p>
        </w:tc>
      </w:tr>
    </w:tbl>
    <w:tbl>
      <w:tblPr>
        <w:tblW w:w="2988" w:type="dxa"/>
        <w:jc w:val="left"/>
        <w:tblInd w:w="0" w:type="dxa"/>
        <w:tblLayout w:type="fixed"/>
        <w:tblCellMar>
          <w:top w:w="0" w:type="dxa"/>
          <w:left w:w="0" w:type="dxa"/>
          <w:bottom w:w="0" w:type="dxa"/>
          <w:right w:w="0" w:type="dxa"/>
        </w:tblCellMar>
      </w:tblPr>
      <w:tblGrid>
        <w:gridCol w:w="38"/>
        <w:gridCol w:w="17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 media types in one story</w:t>
            </w:r>
          </w:p>
        </w:tc>
      </w:tr>
    </w:tbl>
    <w:p>
      <w:pPr>
        <w:pStyle w:val="TextBody"/>
        <w:bidi w:val="0"/>
        <w:spacing w:before="0" w:after="0"/>
        <w:ind w:left="287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170"/>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Enhanced Messaging</w:t>
            </w:r>
          </w:p>
        </w:tc>
      </w:tr>
    </w:tbl>
    <w:p>
      <w:pPr>
        <w:pStyle w:val="TextBody"/>
        <w:bidi w:val="0"/>
        <w:spacing w:before="0" w:after="0"/>
        <w:ind w:left="2158" w:right="0" w:hanging="0"/>
        <w:jc w:val="both"/>
        <w:rPr>
          <w:caps w:val="false"/>
          <w:smallCaps w:val="false"/>
        </w:rPr>
      </w:pPr>
      <w:r>
        <w:rPr>
          <w:caps w:val="false"/>
          <w:smallCaps w:val="false"/>
        </w:rPr>
        <w:t> </w:t>
      </w:r>
    </w:p>
    <w:tbl>
      <w:tblPr>
        <w:tblW w:w="1338" w:type="dxa"/>
        <w:jc w:val="left"/>
        <w:tblInd w:w="0" w:type="dxa"/>
        <w:tblLayout w:type="fixed"/>
        <w:tblCellMar>
          <w:top w:w="0" w:type="dxa"/>
          <w:left w:w="0" w:type="dxa"/>
          <w:bottom w:w="0" w:type="dxa"/>
          <w:right w:w="0" w:type="dxa"/>
        </w:tblCellMar>
      </w:tblPr>
      <w:tblGrid>
        <w:gridCol w:w="38"/>
        <w:gridCol w:w="17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 receipts</w:t>
            </w:r>
          </w:p>
        </w:tc>
      </w:tr>
    </w:tbl>
    <w:tbl>
      <w:tblPr>
        <w:tblW w:w="1698" w:type="dxa"/>
        <w:jc w:val="left"/>
        <w:tblInd w:w="0" w:type="dxa"/>
        <w:tblLayout w:type="fixed"/>
        <w:tblCellMar>
          <w:top w:w="0" w:type="dxa"/>
          <w:left w:w="0" w:type="dxa"/>
          <w:bottom w:w="0" w:type="dxa"/>
          <w:right w:w="0" w:type="dxa"/>
        </w:tblCellMar>
      </w:tblPr>
      <w:tblGrid>
        <w:gridCol w:w="38"/>
        <w:gridCol w:w="17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Typing indicators</w:t>
            </w:r>
          </w:p>
        </w:tc>
      </w:tr>
    </w:tbl>
    <w:tbl>
      <w:tblPr>
        <w:tblW w:w="1938" w:type="dxa"/>
        <w:jc w:val="left"/>
        <w:tblInd w:w="0" w:type="dxa"/>
        <w:tblLayout w:type="fixed"/>
        <w:tblCellMar>
          <w:top w:w="0" w:type="dxa"/>
          <w:left w:w="0" w:type="dxa"/>
          <w:bottom w:w="0" w:type="dxa"/>
          <w:right w:w="0" w:type="dxa"/>
        </w:tblCellMar>
      </w:tblPr>
      <w:tblGrid>
        <w:gridCol w:w="38"/>
        <w:gridCol w:w="170"/>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 media previews</w:t>
            </w:r>
          </w:p>
        </w:tc>
      </w:tr>
    </w:tbl>
    <w:p>
      <w:pPr>
        <w:pStyle w:val="TextBody"/>
        <w:bidi w:val="0"/>
        <w:spacing w:before="0" w:after="0"/>
        <w:ind w:left="2879" w:right="0" w:hanging="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170"/>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5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Discovery</w:t>
            </w:r>
          </w:p>
        </w:tc>
      </w:tr>
    </w:tbl>
    <w:p>
      <w:pPr>
        <w:pStyle w:val="TextBody"/>
        <w:bidi w:val="0"/>
        <w:spacing w:before="0" w:after="0"/>
        <w:ind w:left="2158" w:right="0" w:hanging="0"/>
        <w:jc w:val="both"/>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38"/>
        <w:gridCol w:w="17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Advanced content recommendation algorithms</w:t>
            </w:r>
          </w:p>
        </w:tc>
      </w:tr>
    </w:tbl>
    <w:tbl>
      <w:tblPr>
        <w:tblW w:w="3003" w:type="dxa"/>
        <w:jc w:val="left"/>
        <w:tblInd w:w="0" w:type="dxa"/>
        <w:tblLayout w:type="fixed"/>
        <w:tblCellMar>
          <w:top w:w="0" w:type="dxa"/>
          <w:left w:w="0" w:type="dxa"/>
          <w:bottom w:w="0" w:type="dxa"/>
          <w:right w:w="0" w:type="dxa"/>
        </w:tblCellMar>
      </w:tblPr>
      <w:tblGrid>
        <w:gridCol w:w="38"/>
        <w:gridCol w:w="17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Explore page with trending topics</w:t>
            </w:r>
          </w:p>
        </w:tc>
      </w:tr>
    </w:tbl>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categorization</w:t>
            </w:r>
          </w:p>
        </w:tc>
      </w:tr>
    </w:tbl>
    <w:p>
      <w:pPr>
        <w:pStyle w:val="TextBody"/>
        <w:bidi w:val="0"/>
        <w:spacing w:before="0" w:after="0"/>
        <w:ind w:left="2879" w:right="0" w:hanging="0"/>
        <w:jc w:val="both"/>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38"/>
        <w:gridCol w:w="170"/>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4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Bookmarking &amp; Collections</w:t>
            </w:r>
          </w:p>
        </w:tc>
      </w:tr>
    </w:tbl>
    <w:p>
      <w:pPr>
        <w:pStyle w:val="TextBody"/>
        <w:bidi w:val="0"/>
        <w:spacing w:before="0" w:after="0"/>
        <w:ind w:left="2158" w:right="0" w:hanging="0"/>
        <w:jc w:val="both"/>
        <w:rPr>
          <w:caps w:val="false"/>
          <w:smallCaps w:val="false"/>
        </w:rPr>
      </w:pPr>
      <w:r>
        <w:rPr>
          <w:caps w:val="false"/>
          <w:smallCaps w:val="false"/>
        </w:rPr>
        <w:t> </w:t>
      </w:r>
    </w:p>
    <w:tbl>
      <w:tblPr>
        <w:tblW w:w="1773" w:type="dxa"/>
        <w:jc w:val="left"/>
        <w:tblInd w:w="0" w:type="dxa"/>
        <w:tblLayout w:type="fixed"/>
        <w:tblCellMar>
          <w:top w:w="0" w:type="dxa"/>
          <w:left w:w="0" w:type="dxa"/>
          <w:bottom w:w="0" w:type="dxa"/>
          <w:right w:w="0" w:type="dxa"/>
        </w:tblCellMar>
      </w:tblPr>
      <w:tblGrid>
        <w:gridCol w:w="38"/>
        <w:gridCol w:w="17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posts for later</w:t>
            </w:r>
          </w:p>
        </w:tc>
      </w:tr>
    </w:tbl>
    <w:tbl>
      <w:tblPr>
        <w:tblW w:w="3468" w:type="dxa"/>
        <w:jc w:val="left"/>
        <w:tblInd w:w="0" w:type="dxa"/>
        <w:tblLayout w:type="fixed"/>
        <w:tblCellMar>
          <w:top w:w="0" w:type="dxa"/>
          <w:left w:w="0" w:type="dxa"/>
          <w:bottom w:w="0" w:type="dxa"/>
          <w:right w:w="0" w:type="dxa"/>
        </w:tblCellMar>
      </w:tblPr>
      <w:tblGrid>
        <w:gridCol w:w="38"/>
        <w:gridCol w:w="17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Organize saved content into collections</w:t>
            </w:r>
          </w:p>
        </w:tc>
      </w:tr>
    </w:tbl>
    <w:tbl>
      <w:tblPr>
        <w:tblW w:w="2928" w:type="dxa"/>
        <w:jc w:val="left"/>
        <w:tblInd w:w="0" w:type="dxa"/>
        <w:tblLayout w:type="fixed"/>
        <w:tblCellMar>
          <w:top w:w="0" w:type="dxa"/>
          <w:left w:w="0" w:type="dxa"/>
          <w:bottom w:w="0" w:type="dxa"/>
          <w:right w:w="0" w:type="dxa"/>
        </w:tblCellMar>
      </w:tblPr>
      <w:tblGrid>
        <w:gridCol w:w="38"/>
        <w:gridCol w:w="17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Private/public collection options</w:t>
            </w:r>
          </w:p>
        </w:tc>
      </w:tr>
    </w:tbl>
    <w:p>
      <w:pPr>
        <w:pStyle w:val="TextBody"/>
        <w:bidi w:val="0"/>
        <w:spacing w:before="0" w:after="0"/>
        <w:ind w:left="2879" w:right="0" w:hanging="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185"/>
        <w:gridCol w:w="22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2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Integration Requirements</w:t>
            </w:r>
          </w:p>
        </w:tc>
      </w:tr>
    </w:tbl>
    <w:p>
      <w:pPr>
        <w:pStyle w:val="TextBody"/>
        <w:bidi w:val="0"/>
        <w:spacing w:before="0" w:after="0"/>
        <w:ind w:left="1816" w:right="0" w:hanging="0"/>
        <w:jc w:val="both"/>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275"/>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w:t>
            </w:r>
          </w:p>
        </w:tc>
        <w:tc>
          <w:tcPr>
            <w:tcW w:w="24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Specter Backend Integration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Social Module must integrate with the following Specter features:</w:t>
      </w:r>
    </w:p>
    <w:p>
      <w:pPr>
        <w:pStyle w:val="TextBody"/>
        <w:bidi w:val="0"/>
        <w:spacing w:before="0" w:after="0"/>
        <w:jc w:val="left"/>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17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6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&amp; User Identity</w:t>
            </w:r>
          </w:p>
        </w:tc>
      </w:tr>
    </w:tbl>
    <w:p>
      <w:pPr>
        <w:pStyle w:val="TextBody"/>
        <w:bidi w:val="0"/>
        <w:spacing w:before="0" w:after="0"/>
        <w:jc w:val="left"/>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170"/>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Single sign-on between systems (Cognito) or Suggested Authentication using Specter Validate Token as mentioned above</w:t>
            </w:r>
          </w:p>
        </w:tc>
      </w:tr>
    </w:tbl>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profile synchronization</w:t>
            </w:r>
          </w:p>
        </w:tc>
      </w:tr>
    </w:tbl>
    <w:tbl>
      <w:tblPr>
        <w:tblW w:w="2778" w:type="dxa"/>
        <w:jc w:val="left"/>
        <w:tblInd w:w="0" w:type="dxa"/>
        <w:tblLayout w:type="fixed"/>
        <w:tblCellMar>
          <w:top w:w="0" w:type="dxa"/>
          <w:left w:w="0" w:type="dxa"/>
          <w:bottom w:w="0" w:type="dxa"/>
          <w:right w:w="0" w:type="dxa"/>
        </w:tblCellMar>
      </w:tblPr>
      <w:tblGrid>
        <w:gridCol w:w="38"/>
        <w:gridCol w:w="17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 token validation</w:t>
            </w:r>
          </w:p>
        </w:tc>
      </w:tr>
    </w:tbl>
    <w:p>
      <w:pPr>
        <w:pStyle w:val="TextBody"/>
        <w:bidi w:val="0"/>
        <w:spacing w:before="0" w:after="0"/>
        <w:ind w:left="2879" w:right="0" w:hanging="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0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Wallet &amp; Points System</w:t>
            </w:r>
          </w:p>
        </w:tc>
      </w:tr>
    </w:tbl>
    <w:p>
      <w:pPr>
        <w:pStyle w:val="TextBody"/>
        <w:bidi w:val="0"/>
        <w:spacing w:before="0" w:after="0"/>
        <w:ind w:left="2158" w:right="0" w:hanging="0"/>
        <w:jc w:val="both"/>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17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Display wallet balance from Specter</w:t>
            </w:r>
          </w:p>
        </w:tc>
      </w:tr>
    </w:tbl>
    <w:tbl>
      <w:tblPr>
        <w:tblW w:w="4953" w:type="dxa"/>
        <w:jc w:val="left"/>
        <w:tblInd w:w="0" w:type="dxa"/>
        <w:tblLayout w:type="fixed"/>
        <w:tblCellMar>
          <w:top w:w="0" w:type="dxa"/>
          <w:left w:w="0" w:type="dxa"/>
          <w:bottom w:w="0" w:type="dxa"/>
          <w:right w:w="0" w:type="dxa"/>
        </w:tblCellMar>
      </w:tblPr>
      <w:tblGrid>
        <w:gridCol w:w="38"/>
        <w:gridCol w:w="170"/>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Show GXR points/stars earned through social engagement</w:t>
            </w:r>
          </w:p>
        </w:tc>
      </w:tr>
    </w:tbl>
    <w:tbl>
      <w:tblPr>
        <w:tblW w:w="4038" w:type="dxa"/>
        <w:jc w:val="left"/>
        <w:tblInd w:w="0" w:type="dxa"/>
        <w:tblLayout w:type="fixed"/>
        <w:tblCellMar>
          <w:top w:w="0" w:type="dxa"/>
          <w:left w:w="0" w:type="dxa"/>
          <w:bottom w:w="0" w:type="dxa"/>
          <w:right w:w="0" w:type="dxa"/>
        </w:tblCellMar>
      </w:tblPr>
      <w:tblGrid>
        <w:gridCol w:w="38"/>
        <w:gridCol w:w="17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Redirect to appropriate screens for transactions</w:t>
            </w:r>
          </w:p>
        </w:tc>
      </w:tr>
    </w:tbl>
    <w:p>
      <w:pPr>
        <w:pStyle w:val="TextBody"/>
        <w:bidi w:val="0"/>
        <w:spacing w:before="0" w:after="0"/>
        <w:ind w:left="2879" w:right="0" w:hanging="0"/>
        <w:jc w:val="both"/>
        <w:rPr>
          <w:caps w:val="false"/>
          <w:smallCaps w:val="false"/>
        </w:rPr>
      </w:pPr>
      <w:r>
        <w:rPr>
          <w:caps w:val="false"/>
          <w:smallCaps w:val="false"/>
        </w:rPr>
        <w:t> </w:t>
      </w:r>
    </w:p>
    <w:tbl>
      <w:tblPr>
        <w:tblW w:w="1323" w:type="dxa"/>
        <w:jc w:val="left"/>
        <w:tblInd w:w="0" w:type="dxa"/>
        <w:tblLayout w:type="fixed"/>
        <w:tblCellMar>
          <w:top w:w="0" w:type="dxa"/>
          <w:left w:w="0" w:type="dxa"/>
          <w:bottom w:w="0" w:type="dxa"/>
          <w:right w:w="0" w:type="dxa"/>
        </w:tblCellMar>
      </w:tblPr>
      <w:tblGrid>
        <w:gridCol w:w="38"/>
        <w:gridCol w:w="170"/>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1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Notifications</w:t>
            </w:r>
          </w:p>
        </w:tc>
      </w:tr>
    </w:tbl>
    <w:p>
      <w:pPr>
        <w:pStyle w:val="TextBody"/>
        <w:bidi w:val="0"/>
        <w:spacing w:before="0" w:after="0"/>
        <w:ind w:left="2158" w:right="0" w:hanging="0"/>
        <w:jc w:val="both"/>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
        <w:gridCol w:w="170"/>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Unified notification experience</w:t>
            </w:r>
          </w:p>
        </w:tc>
      </w:tr>
    </w:tbl>
    <w:tbl>
      <w:tblPr>
        <w:tblW w:w="3843" w:type="dxa"/>
        <w:jc w:val="left"/>
        <w:tblInd w:w="0" w:type="dxa"/>
        <w:tblLayout w:type="fixed"/>
        <w:tblCellMar>
          <w:top w:w="0" w:type="dxa"/>
          <w:left w:w="0" w:type="dxa"/>
          <w:bottom w:w="0" w:type="dxa"/>
          <w:right w:w="0" w:type="dxa"/>
        </w:tblCellMar>
      </w:tblPr>
      <w:tblGrid>
        <w:gridCol w:w="38"/>
        <w:gridCol w:w="17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 handoff for different notification types</w:t>
            </w:r>
          </w:p>
        </w:tc>
      </w:tr>
    </w:tbl>
    <w:tbl>
      <w:tblPr>
        <w:tblW w:w="2733" w:type="dxa"/>
        <w:jc w:val="left"/>
        <w:tblInd w:w="0" w:type="dxa"/>
        <w:tblLayout w:type="fixed"/>
        <w:tblCellMar>
          <w:top w:w="0" w:type="dxa"/>
          <w:left w:w="0" w:type="dxa"/>
          <w:bottom w:w="0" w:type="dxa"/>
          <w:right w:w="0" w:type="dxa"/>
        </w:tblCellMar>
      </w:tblPr>
      <w:tblGrid>
        <w:gridCol w:w="38"/>
        <w:gridCol w:w="170"/>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notification styling</w:t>
            </w:r>
          </w:p>
        </w:tc>
      </w:tr>
    </w:tbl>
    <w:p>
      <w:pPr>
        <w:pStyle w:val="TextBody"/>
        <w:bidi w:val="0"/>
        <w:spacing w:before="0" w:after="0"/>
        <w:ind w:left="287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879" w:right="0" w:hanging="36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90"/>
        <w:gridCol w:w="14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w:t>
            </w:r>
          </w:p>
        </w:tc>
        <w:tc>
          <w:tcPr>
            <w:tcW w:w="14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Syncing</w:t>
            </w:r>
          </w:p>
        </w:tc>
      </w:tr>
    </w:tbl>
    <w:p>
      <w:pPr>
        <w:pStyle w:val="TextBody"/>
        <w:bidi w:val="0"/>
        <w:spacing w:before="0" w:after="0"/>
        <w:ind w:left="187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content types should be synchronized between systems:</w:t>
      </w:r>
    </w:p>
    <w:p>
      <w:pPr>
        <w:pStyle w:val="TextBody"/>
        <w:bidi w:val="0"/>
        <w:spacing w:before="0" w:after="0"/>
        <w:jc w:val="left"/>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17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1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User Profile Information</w:t>
            </w:r>
          </w:p>
        </w:tc>
      </w:tr>
    </w:tbl>
    <w:p>
      <w:pPr>
        <w:pStyle w:val="TextBody"/>
        <w:bidi w:val="0"/>
        <w:spacing w:before="0" w:after="0"/>
        <w:ind w:left="2158" w:right="0" w:hanging="0"/>
        <w:jc w:val="both"/>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38"/>
        <w:gridCol w:w="17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information (name, username, email)</w:t>
            </w:r>
          </w:p>
        </w:tc>
      </w:tr>
    </w:tbl>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Profile picture and cover photo</w:t>
            </w:r>
          </w:p>
        </w:tc>
      </w:tr>
    </w:tbl>
    <w:tbl>
      <w:tblPr>
        <w:tblW w:w="3138" w:type="dxa"/>
        <w:jc w:val="left"/>
        <w:tblInd w:w="0" w:type="dxa"/>
        <w:tblLayout w:type="fixed"/>
        <w:tblCellMar>
          <w:top w:w="0" w:type="dxa"/>
          <w:left w:w="0" w:type="dxa"/>
          <w:bottom w:w="0" w:type="dxa"/>
          <w:right w:w="0" w:type="dxa"/>
        </w:tblCellMar>
      </w:tblPr>
      <w:tblGrid>
        <w:gridCol w:w="38"/>
        <w:gridCol w:w="17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and achievement information</w:t>
            </w:r>
          </w:p>
        </w:tc>
      </w:tr>
    </w:tbl>
    <w:p>
      <w:pPr>
        <w:pStyle w:val="TextBody"/>
        <w:bidi w:val="0"/>
        <w:spacing w:before="0" w:after="0"/>
        <w:ind w:left="2879" w:right="0" w:hanging="0"/>
        <w:jc w:val="both"/>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170"/>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6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 Settings</w:t>
            </w:r>
          </w:p>
        </w:tc>
      </w:tr>
    </w:tbl>
    <w:p>
      <w:pPr>
        <w:pStyle w:val="TextBody"/>
        <w:bidi w:val="0"/>
        <w:spacing w:before="0" w:after="0"/>
        <w:ind w:left="2158" w:right="0" w:hanging="0"/>
        <w:jc w:val="both"/>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170"/>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Favorite teams and leagues</w:t>
            </w:r>
          </w:p>
        </w:tc>
      </w:tr>
    </w:tbl>
    <w:tbl>
      <w:tblPr>
        <w:tblW w:w="2928" w:type="dxa"/>
        <w:jc w:val="left"/>
        <w:tblInd w:w="0" w:type="dxa"/>
        <w:tblLayout w:type="fixed"/>
        <w:tblCellMar>
          <w:top w:w="0" w:type="dxa"/>
          <w:left w:w="0" w:type="dxa"/>
          <w:bottom w:w="0" w:type="dxa"/>
          <w:right w:w="0" w:type="dxa"/>
        </w:tblCellMar>
      </w:tblPr>
      <w:tblGrid>
        <w:gridCol w:w="38"/>
        <w:gridCol w:w="17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Language and region preferences</w:t>
            </w:r>
          </w:p>
        </w:tc>
      </w:tr>
    </w:tbl>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settings</w:t>
            </w:r>
          </w:p>
        </w:tc>
      </w:tr>
    </w:tbl>
    <w:p>
      <w:pPr>
        <w:pStyle w:val="TextBody"/>
        <w:bidi w:val="0"/>
        <w:spacing w:before="0" w:after="0"/>
        <w:ind w:left="2879" w:right="0" w:hanging="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185"/>
        <w:gridCol w:w="270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7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Implementation Considerations</w:t>
            </w:r>
          </w:p>
        </w:tc>
      </w:tr>
    </w:tbl>
    <w:p>
      <w:pPr>
        <w:pStyle w:val="TextBody"/>
        <w:bidi w:val="0"/>
        <w:spacing w:before="0" w:after="0"/>
        <w:ind w:left="1816" w:right="0" w:hanging="0"/>
        <w:jc w:val="both"/>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290"/>
        <w:gridCol w:w="219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w:t>
            </w:r>
          </w:p>
        </w:tc>
        <w:tc>
          <w:tcPr>
            <w:tcW w:w="21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Phased Rollout Approach</w:t>
            </w:r>
          </w:p>
        </w:tc>
      </w:tr>
    </w:tbl>
    <w:p>
      <w:pPr>
        <w:pStyle w:val="TextBody"/>
        <w:bidi w:val="0"/>
        <w:spacing w:before="0" w:after="0"/>
        <w:ind w:left="1870" w:right="0" w:hanging="0"/>
        <w:jc w:val="both"/>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17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7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Phase 1: Core Social Foundation</w:t>
            </w:r>
          </w:p>
        </w:tc>
      </w:tr>
    </w:tbl>
    <w:p>
      <w:pPr>
        <w:pStyle w:val="TextBody"/>
        <w:bidi w:val="0"/>
        <w:spacing w:before="0" w:after="0"/>
        <w:ind w:left="2158" w:right="0" w:hanging="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17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feed (basic functionality)</w:t>
            </w:r>
          </w:p>
        </w:tc>
      </w:tr>
    </w:tbl>
    <w:tbl>
      <w:tblPr>
        <w:tblW w:w="2643" w:type="dxa"/>
        <w:jc w:val="left"/>
        <w:tblInd w:w="0" w:type="dxa"/>
        <w:tblLayout w:type="fixed"/>
        <w:tblCellMar>
          <w:top w:w="0" w:type="dxa"/>
          <w:left w:w="0" w:type="dxa"/>
          <w:bottom w:w="0" w:type="dxa"/>
          <w:right w:w="0" w:type="dxa"/>
        </w:tblCellMar>
      </w:tblPr>
      <w:tblGrid>
        <w:gridCol w:w="38"/>
        <w:gridCol w:w="170"/>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profiles and connections</w:t>
            </w:r>
          </w:p>
        </w:tc>
      </w:tr>
    </w:tbl>
    <w:tbl>
      <w:tblPr>
        <w:tblW w:w="2343" w:type="dxa"/>
        <w:jc w:val="left"/>
        <w:tblInd w:w="0" w:type="dxa"/>
        <w:tblLayout w:type="fixed"/>
        <w:tblCellMar>
          <w:top w:w="0" w:type="dxa"/>
          <w:left w:w="0" w:type="dxa"/>
          <w:bottom w:w="0" w:type="dxa"/>
          <w:right w:w="0" w:type="dxa"/>
        </w:tblCellMar>
      </w:tblPr>
      <w:tblGrid>
        <w:gridCol w:w="38"/>
        <w:gridCol w:w="17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posting capabilities</w:t>
            </w:r>
          </w:p>
        </w:tc>
      </w:tr>
    </w:tbl>
    <w:tbl>
      <w:tblPr>
        <w:tblW w:w="2418" w:type="dxa"/>
        <w:jc w:val="left"/>
        <w:tblInd w:w="0" w:type="dxa"/>
        <w:tblLayout w:type="fixed"/>
        <w:tblCellMar>
          <w:top w:w="0" w:type="dxa"/>
          <w:left w:w="0" w:type="dxa"/>
          <w:bottom w:w="0" w:type="dxa"/>
          <w:right w:w="0" w:type="dxa"/>
        </w:tblCellMar>
      </w:tblPr>
      <w:tblGrid>
        <w:gridCol w:w="38"/>
        <w:gridCol w:w="17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integration</w:t>
            </w:r>
          </w:p>
        </w:tc>
      </w:tr>
    </w:tbl>
    <w:p>
      <w:pPr>
        <w:pStyle w:val="TextBody"/>
        <w:bidi w:val="0"/>
        <w:spacing w:before="0" w:after="0"/>
        <w:ind w:left="2879" w:right="0" w:hanging="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17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6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Phase 2: Engagement Features</w:t>
            </w:r>
          </w:p>
        </w:tc>
      </w:tr>
    </w:tbl>
    <w:p>
      <w:pPr>
        <w:pStyle w:val="TextBody"/>
        <w:bidi w:val="0"/>
        <w:spacing w:before="0" w:after="0"/>
        <w:ind w:left="2158" w:right="0" w:hanging="0"/>
        <w:jc w:val="both"/>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170"/>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Comments and replies</w:t>
            </w:r>
          </w:p>
        </w:tc>
      </w:tr>
    </w:tbl>
    <w:tbl>
      <w:tblPr>
        <w:tblW w:w="1698" w:type="dxa"/>
        <w:jc w:val="left"/>
        <w:tblInd w:w="0" w:type="dxa"/>
        <w:tblLayout w:type="fixed"/>
        <w:tblCellMar>
          <w:top w:w="0" w:type="dxa"/>
          <w:left w:w="0" w:type="dxa"/>
          <w:bottom w:w="0" w:type="dxa"/>
          <w:right w:w="0" w:type="dxa"/>
        </w:tblCellMar>
      </w:tblPr>
      <w:tblGrid>
        <w:gridCol w:w="38"/>
        <w:gridCol w:w="17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functionality</w:t>
            </w:r>
          </w:p>
        </w:tc>
      </w:tr>
    </w:tbl>
    <w:tbl>
      <w:tblPr>
        <w:tblW w:w="1773" w:type="dxa"/>
        <w:jc w:val="left"/>
        <w:tblInd w:w="0" w:type="dxa"/>
        <w:tblLayout w:type="fixed"/>
        <w:tblCellMar>
          <w:top w:w="0" w:type="dxa"/>
          <w:left w:w="0" w:type="dxa"/>
          <w:bottom w:w="0" w:type="dxa"/>
          <w:right w:w="0" w:type="dxa"/>
        </w:tblCellMar>
      </w:tblPr>
      <w:tblGrid>
        <w:gridCol w:w="38"/>
        <w:gridCol w:w="17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notifications</w:t>
            </w:r>
          </w:p>
        </w:tc>
      </w:tr>
    </w:tbl>
    <w:tbl>
      <w:tblPr>
        <w:tblW w:w="1923" w:type="dxa"/>
        <w:jc w:val="left"/>
        <w:tblInd w:w="0" w:type="dxa"/>
        <w:tblLayout w:type="fixed"/>
        <w:tblCellMar>
          <w:top w:w="0" w:type="dxa"/>
          <w:left w:w="0" w:type="dxa"/>
          <w:bottom w:w="0" w:type="dxa"/>
          <w:right w:w="0" w:type="dxa"/>
        </w:tblCellMar>
      </w:tblPr>
      <w:tblGrid>
        <w:gridCol w:w="38"/>
        <w:gridCol w:w="170"/>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post types</w:t>
            </w:r>
          </w:p>
        </w:tc>
      </w:tr>
    </w:tbl>
    <w:p>
      <w:pPr>
        <w:pStyle w:val="TextBody"/>
        <w:bidi w:val="0"/>
        <w:spacing w:before="0" w:after="0"/>
        <w:ind w:left="2879" w:right="0" w:hanging="0"/>
        <w:jc w:val="both"/>
        <w:rPr>
          <w:caps w:val="false"/>
          <w:smallCaps w:val="false"/>
        </w:rPr>
      </w:pPr>
      <w:r>
        <w:rPr>
          <w:caps w:val="false"/>
          <w:smallCaps w:val="false"/>
        </w:rPr>
        <w:t> </w:t>
      </w:r>
    </w:p>
    <w:tbl>
      <w:tblPr>
        <w:tblW w:w="3843" w:type="dxa"/>
        <w:jc w:val="left"/>
        <w:tblInd w:w="0" w:type="dxa"/>
        <w:tblLayout w:type="fixed"/>
        <w:tblCellMar>
          <w:top w:w="0" w:type="dxa"/>
          <w:left w:w="0" w:type="dxa"/>
          <w:bottom w:w="0" w:type="dxa"/>
          <w:right w:w="0" w:type="dxa"/>
        </w:tblCellMar>
      </w:tblPr>
      <w:tblGrid>
        <w:gridCol w:w="38"/>
        <w:gridCol w:w="17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6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Phase 3: Rich Media &amp; Advanced Features</w:t>
            </w:r>
          </w:p>
        </w:tc>
      </w:tr>
    </w:tbl>
    <w:p>
      <w:pPr>
        <w:pStyle w:val="TextBody"/>
        <w:bidi w:val="0"/>
        <w:spacing w:before="0" w:after="0"/>
        <w:ind w:left="2158" w:right="0" w:hanging="0"/>
        <w:jc w:val="both"/>
        <w:rPr>
          <w:caps w:val="false"/>
          <w:smallCaps w:val="false"/>
        </w:rPr>
      </w:pPr>
      <w:r>
        <w:rPr>
          <w:caps w:val="false"/>
          <w:smallCaps w:val="false"/>
        </w:rPr>
        <w:t> </w:t>
      </w:r>
    </w:p>
    <w:tbl>
      <w:tblPr>
        <w:tblW w:w="2133" w:type="dxa"/>
        <w:jc w:val="left"/>
        <w:tblInd w:w="0" w:type="dxa"/>
        <w:tblLayout w:type="fixed"/>
        <w:tblCellMar>
          <w:top w:w="0" w:type="dxa"/>
          <w:left w:w="0" w:type="dxa"/>
          <w:bottom w:w="0" w:type="dxa"/>
          <w:right w:w="0" w:type="dxa"/>
        </w:tblCellMar>
      </w:tblPr>
      <w:tblGrid>
        <w:gridCol w:w="38"/>
        <w:gridCol w:w="170"/>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 implementation</w:t>
            </w:r>
          </w:p>
        </w:tc>
      </w:tr>
    </w:tbl>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Messaging functionality</w:t>
            </w:r>
          </w:p>
        </w:tc>
      </w:tr>
    </w:tbl>
    <w:tbl>
      <w:tblPr>
        <w:tblW w:w="2268" w:type="dxa"/>
        <w:jc w:val="left"/>
        <w:tblInd w:w="0" w:type="dxa"/>
        <w:tblLayout w:type="fixed"/>
        <w:tblCellMar>
          <w:top w:w="0" w:type="dxa"/>
          <w:left w:w="0" w:type="dxa"/>
          <w:bottom w:w="0" w:type="dxa"/>
          <w:right w:w="0" w:type="dxa"/>
        </w:tblCellMar>
      </w:tblPr>
      <w:tblGrid>
        <w:gridCol w:w="38"/>
        <w:gridCol w:w="17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Advanced media support</w:t>
            </w:r>
          </w:p>
        </w:tc>
      </w:tr>
    </w:tbl>
    <w:tbl>
      <w:tblPr>
        <w:tblW w:w="2793" w:type="dxa"/>
        <w:jc w:val="left"/>
        <w:tblInd w:w="0" w:type="dxa"/>
        <w:tblLayout w:type="fixed"/>
        <w:tblCellMar>
          <w:top w:w="0" w:type="dxa"/>
          <w:left w:w="0" w:type="dxa"/>
          <w:bottom w:w="0" w:type="dxa"/>
          <w:right w:w="0" w:type="dxa"/>
        </w:tblCellMar>
      </w:tblPr>
      <w:tblGrid>
        <w:gridCol w:w="38"/>
        <w:gridCol w:w="170"/>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search and discovery</w:t>
            </w:r>
          </w:p>
        </w:tc>
      </w:tr>
    </w:tbl>
    <w:p>
      <w:pPr>
        <w:pStyle w:val="TextBody"/>
        <w:bidi w:val="0"/>
        <w:spacing w:before="0" w:after="0"/>
        <w:ind w:left="2879"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290"/>
        <w:gridCol w:w="174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Testing Focus Areas</w:t>
            </w:r>
          </w:p>
        </w:tc>
      </w:tr>
    </w:tbl>
    <w:p>
      <w:pPr>
        <w:pStyle w:val="TextBody"/>
        <w:bidi w:val="0"/>
        <w:spacing w:before="0" w:after="0"/>
        <w:ind w:left="1870" w:right="0" w:hanging="0"/>
        <w:jc w:val="both"/>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17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User Experience Testing</w:t>
            </w:r>
          </w:p>
        </w:tc>
      </w:tr>
    </w:tbl>
    <w:p>
      <w:pPr>
        <w:pStyle w:val="TextBody"/>
        <w:bidi w:val="0"/>
        <w:spacing w:before="0" w:after="0"/>
        <w:ind w:left="2158" w:right="0" w:hanging="0"/>
        <w:jc w:val="both"/>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17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Navigation flow efficiency</w:t>
            </w:r>
          </w:p>
        </w:tc>
      </w:tr>
    </w:tbl>
    <w:tbl>
      <w:tblPr>
        <w:tblW w:w="2838" w:type="dxa"/>
        <w:jc w:val="left"/>
        <w:tblInd w:w="0" w:type="dxa"/>
        <w:tblLayout w:type="fixed"/>
        <w:tblCellMar>
          <w:top w:w="0" w:type="dxa"/>
          <w:left w:w="0" w:type="dxa"/>
          <w:bottom w:w="0" w:type="dxa"/>
          <w:right w:w="0" w:type="dxa"/>
        </w:tblCellMar>
      </w:tblPr>
      <w:tblGrid>
        <w:gridCol w:w="38"/>
        <w:gridCol w:w="17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discovery effectiveness</w:t>
            </w:r>
          </w:p>
        </w:tc>
      </w:tr>
    </w:tbl>
    <w:tbl>
      <w:tblPr>
        <w:tblW w:w="3003" w:type="dxa"/>
        <w:jc w:val="left"/>
        <w:tblInd w:w="0" w:type="dxa"/>
        <w:tblLayout w:type="fixed"/>
        <w:tblCellMar>
          <w:top w:w="0" w:type="dxa"/>
          <w:left w:w="0" w:type="dxa"/>
          <w:bottom w:w="0" w:type="dxa"/>
          <w:right w:w="0" w:type="dxa"/>
        </w:tblCellMar>
      </w:tblPr>
      <w:tblGrid>
        <w:gridCol w:w="38"/>
        <w:gridCol w:w="17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Posting and interaction simplicity</w:t>
            </w:r>
          </w:p>
        </w:tc>
      </w:tr>
    </w:tbl>
    <w:tbl>
      <w:tblPr>
        <w:tblW w:w="2508" w:type="dxa"/>
        <w:jc w:val="left"/>
        <w:tblInd w:w="0" w:type="dxa"/>
        <w:tblLayout w:type="fixed"/>
        <w:tblCellMar>
          <w:top w:w="0" w:type="dxa"/>
          <w:left w:w="0" w:type="dxa"/>
          <w:bottom w:w="0" w:type="dxa"/>
          <w:right w:w="0" w:type="dxa"/>
        </w:tblCellMar>
      </w:tblPr>
      <w:tblGrid>
        <w:gridCol w:w="38"/>
        <w:gridCol w:w="17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engagement metrics</w:t>
            </w:r>
          </w:p>
        </w:tc>
      </w:tr>
    </w:tbl>
    <w:p>
      <w:pPr>
        <w:pStyle w:val="TextBody"/>
        <w:bidi w:val="0"/>
        <w:spacing w:before="0" w:after="0"/>
        <w:ind w:left="287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170"/>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Testing</w:t>
            </w:r>
          </w:p>
        </w:tc>
      </w:tr>
    </w:tbl>
    <w:p>
      <w:pPr>
        <w:pStyle w:val="TextBody"/>
        <w:bidi w:val="0"/>
        <w:spacing w:before="0" w:after="0"/>
        <w:ind w:left="2158" w:right="0" w:hanging="0"/>
        <w:jc w:val="both"/>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170"/>
        <w:gridCol w:w="1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Feed loading times</w:t>
            </w:r>
          </w:p>
        </w:tc>
      </w:tr>
    </w:tbl>
    <w:tbl>
      <w:tblPr>
        <w:tblW w:w="2538" w:type="dxa"/>
        <w:jc w:val="left"/>
        <w:tblInd w:w="0" w:type="dxa"/>
        <w:tblLayout w:type="fixed"/>
        <w:tblCellMar>
          <w:top w:w="0" w:type="dxa"/>
          <w:left w:w="0" w:type="dxa"/>
          <w:bottom w:w="0" w:type="dxa"/>
          <w:right w:w="0" w:type="dxa"/>
        </w:tblCellMar>
      </w:tblPr>
      <w:tblGrid>
        <w:gridCol w:w="38"/>
        <w:gridCol w:w="17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loading optimization</w:t>
            </w:r>
          </w:p>
        </w:tc>
      </w:tr>
    </w:tbl>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Interaction responsiveness</w:t>
            </w:r>
          </w:p>
        </w:tc>
      </w:tr>
    </w:tbl>
    <w:tbl>
      <w:tblPr>
        <w:tblW w:w="2088" w:type="dxa"/>
        <w:jc w:val="left"/>
        <w:tblInd w:w="0" w:type="dxa"/>
        <w:tblLayout w:type="fixed"/>
        <w:tblCellMar>
          <w:top w:w="0" w:type="dxa"/>
          <w:left w:w="0" w:type="dxa"/>
          <w:bottom w:w="0" w:type="dxa"/>
          <w:right w:w="0" w:type="dxa"/>
        </w:tblCellMar>
      </w:tblPr>
      <w:tblGrid>
        <w:gridCol w:w="38"/>
        <w:gridCol w:w="170"/>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Battery and data usage</w:t>
            </w:r>
          </w:p>
        </w:tc>
      </w:tr>
    </w:tbl>
    <w:p>
      <w:pPr>
        <w:pStyle w:val="TextBody"/>
        <w:bidi w:val="0"/>
        <w:spacing w:before="0" w:after="0"/>
        <w:ind w:left="2879" w:right="0" w:hanging="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17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6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Integration Testing</w:t>
            </w:r>
          </w:p>
        </w:tc>
      </w:tr>
    </w:tbl>
    <w:p>
      <w:pPr>
        <w:pStyle w:val="TextBody"/>
        <w:bidi w:val="0"/>
        <w:spacing w:before="0" w:after="0"/>
        <w:ind w:left="2158" w:right="0" w:hanging="0"/>
        <w:jc w:val="both"/>
        <w:rPr>
          <w:caps w:val="false"/>
          <w:smallCaps w:val="false"/>
        </w:rPr>
      </w:pPr>
      <w:r>
        <w:rPr>
          <w:caps w:val="false"/>
          <w:smallCaps w:val="false"/>
        </w:rPr>
        <w:t> </w:t>
      </w:r>
    </w:p>
    <w:tbl>
      <w:tblPr>
        <w:tblW w:w="2148" w:type="dxa"/>
        <w:jc w:val="left"/>
        <w:tblInd w:w="0" w:type="dxa"/>
        <w:tblLayout w:type="fixed"/>
        <w:tblCellMar>
          <w:top w:w="0" w:type="dxa"/>
          <w:left w:w="0" w:type="dxa"/>
          <w:bottom w:w="0" w:type="dxa"/>
          <w:right w:w="0" w:type="dxa"/>
        </w:tblCellMar>
      </w:tblPr>
      <w:tblGrid>
        <w:gridCol w:w="38"/>
        <w:gridCol w:w="170"/>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handoff</w:t>
            </w:r>
          </w:p>
        </w:tc>
      </w:tr>
    </w:tbl>
    <w:tbl>
      <w:tblPr>
        <w:tblW w:w="2148" w:type="dxa"/>
        <w:jc w:val="left"/>
        <w:tblInd w:w="0" w:type="dxa"/>
        <w:tblLayout w:type="fixed"/>
        <w:tblCellMar>
          <w:top w:w="0" w:type="dxa"/>
          <w:left w:w="0" w:type="dxa"/>
          <w:bottom w:w="0" w:type="dxa"/>
          <w:right w:w="0" w:type="dxa"/>
        </w:tblCellMar>
      </w:tblPr>
      <w:tblGrid>
        <w:gridCol w:w="38"/>
        <w:gridCol w:w="170"/>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Profile synchronization</w:t>
            </w:r>
          </w:p>
        </w:tc>
      </w:tr>
    </w:tbl>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Cross-system notifications</w:t>
            </w:r>
          </w:p>
        </w:tc>
      </w:tr>
    </w:tbl>
    <w:tbl>
      <w:tblPr>
        <w:tblW w:w="2328" w:type="dxa"/>
        <w:jc w:val="left"/>
        <w:tblInd w:w="0" w:type="dxa"/>
        <w:tblLayout w:type="fixed"/>
        <w:tblCellMar>
          <w:top w:w="0" w:type="dxa"/>
          <w:left w:w="0" w:type="dxa"/>
          <w:bottom w:w="0" w:type="dxa"/>
          <w:right w:w="0" w:type="dxa"/>
        </w:tblCellMar>
      </w:tblPr>
      <w:tblGrid>
        <w:gridCol w:w="38"/>
        <w:gridCol w:w="17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Wallet and points display</w:t>
            </w:r>
          </w:p>
        </w:tc>
      </w:tr>
    </w:tbl>
    <w:p>
      <w:pPr>
        <w:pStyle w:val="TextBody"/>
        <w:bidi w:val="0"/>
        <w:spacing w:before="0" w:after="0"/>
        <w:ind w:left="2879" w:right="0" w:hanging="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290"/>
        <w:gridCol w:w="13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3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 Metrics</w:t>
            </w:r>
          </w:p>
        </w:tc>
      </w:tr>
    </w:tbl>
    <w:p>
      <w:pPr>
        <w:pStyle w:val="TextBody"/>
        <w:bidi w:val="0"/>
        <w:spacing w:before="0" w:after="0"/>
        <w:ind w:left="2004" w:right="0" w:hanging="564"/>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95"/>
        <w:gridCol w:w="179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w:t>
            </w:r>
          </w:p>
        </w:tc>
        <w:tc>
          <w:tcPr>
            <w:tcW w:w="17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Engagement Metrics</w:t>
            </w:r>
          </w:p>
        </w:tc>
      </w:tr>
    </w:tbl>
    <w:p>
      <w:pPr>
        <w:pStyle w:val="TextBody"/>
        <w:bidi w:val="0"/>
        <w:spacing w:before="0" w:after="0"/>
        <w:ind w:left="2014" w:right="0" w:hanging="574"/>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17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1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Daily Active Users (DAU)</w:t>
            </w:r>
          </w:p>
        </w:tc>
      </w:tr>
    </w:tbl>
    <w:p>
      <w:pPr>
        <w:pStyle w:val="TextBody"/>
        <w:bidi w:val="0"/>
        <w:spacing w:before="0" w:after="0"/>
        <w:ind w:left="2158" w:right="0" w:hanging="0"/>
        <w:jc w:val="both"/>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30% of total user base within 3 months</w:t>
            </w:r>
          </w:p>
        </w:tc>
      </w:tr>
    </w:tbl>
    <w:p>
      <w:pPr>
        <w:pStyle w:val="TextBody"/>
        <w:bidi w:val="0"/>
        <w:spacing w:before="0" w:after="0"/>
        <w:ind w:left="2879" w:right="0" w:hanging="0"/>
        <w:jc w:val="both"/>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17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4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Creation</w:t>
            </w:r>
          </w:p>
        </w:tc>
      </w:tr>
    </w:tbl>
    <w:p>
      <w:pPr>
        <w:pStyle w:val="TextBody"/>
        <w:bidi w:val="0"/>
        <w:spacing w:before="0" w:after="0"/>
        <w:ind w:left="2158" w:right="0" w:hanging="0"/>
        <w:jc w:val="both"/>
        <w:rPr>
          <w:caps w:val="false"/>
          <w:smallCaps w:val="false"/>
        </w:rPr>
      </w:pPr>
      <w:r>
        <w:rPr>
          <w:caps w:val="false"/>
          <w:smallCaps w:val="false"/>
        </w:rPr>
        <w:t> </w:t>
      </w:r>
    </w:p>
    <w:tbl>
      <w:tblPr>
        <w:tblW w:w="2823" w:type="dxa"/>
        <w:jc w:val="left"/>
        <w:tblInd w:w="0" w:type="dxa"/>
        <w:tblLayout w:type="fixed"/>
        <w:tblCellMar>
          <w:top w:w="0" w:type="dxa"/>
          <w:left w:w="0" w:type="dxa"/>
          <w:bottom w:w="0" w:type="dxa"/>
          <w:right w:w="0" w:type="dxa"/>
        </w:tblCellMar>
      </w:tblPr>
      <w:tblGrid>
        <w:gridCol w:w="38"/>
        <w:gridCol w:w="17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 per active user: 2+ weekly</w:t>
            </w:r>
          </w:p>
        </w:tc>
      </w:tr>
    </w:tbl>
    <w:tbl>
      <w:tblPr>
        <w:tblW w:w="3033" w:type="dxa"/>
        <w:jc w:val="left"/>
        <w:tblInd w:w="0" w:type="dxa"/>
        <w:tblLayout w:type="fixed"/>
        <w:tblCellMar>
          <w:top w:w="0" w:type="dxa"/>
          <w:left w:w="0" w:type="dxa"/>
          <w:bottom w:w="0" w:type="dxa"/>
          <w:right w:w="0" w:type="dxa"/>
        </w:tblCellMar>
      </w:tblPr>
      <w:tblGrid>
        <w:gridCol w:w="38"/>
        <w:gridCol w:w="17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 created: 15% of DAU daily</w:t>
            </w:r>
          </w:p>
        </w:tc>
      </w:tr>
    </w:tbl>
    <w:p>
      <w:pPr>
        <w:pStyle w:val="TextBody"/>
        <w:bidi w:val="0"/>
        <w:spacing w:before="0" w:after="0"/>
        <w:ind w:left="2879" w:right="0" w:hanging="0"/>
        <w:jc w:val="both"/>
        <w:rPr>
          <w:caps w:val="false"/>
          <w:smallCaps w:val="false"/>
        </w:rPr>
      </w:pPr>
      <w:r>
        <w:rPr>
          <w:caps w:val="false"/>
          <w:smallCaps w:val="false"/>
        </w:rPr>
        <w:t> </w:t>
      </w:r>
    </w:p>
    <w:tbl>
      <w:tblPr>
        <w:tblW w:w="1263" w:type="dxa"/>
        <w:jc w:val="left"/>
        <w:tblInd w:w="0" w:type="dxa"/>
        <w:tblLayout w:type="fixed"/>
        <w:tblCellMar>
          <w:top w:w="0" w:type="dxa"/>
          <w:left w:w="0" w:type="dxa"/>
          <w:bottom w:w="0" w:type="dxa"/>
          <w:right w:w="0" w:type="dxa"/>
        </w:tblCellMar>
      </w:tblPr>
      <w:tblGrid>
        <w:gridCol w:w="38"/>
        <w:gridCol w:w="170"/>
        <w:gridCol w:w="1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Interactions</w:t>
            </w:r>
          </w:p>
        </w:tc>
      </w:tr>
    </w:tbl>
    <w:p>
      <w:pPr>
        <w:pStyle w:val="TextBody"/>
        <w:bidi w:val="0"/>
        <w:spacing w:before="0" w:after="0"/>
        <w:ind w:left="2158" w:right="0" w:hanging="0"/>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17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Likes per post: 5+ average</w:t>
            </w:r>
          </w:p>
        </w:tc>
      </w:tr>
    </w:tbl>
    <w:tbl>
      <w:tblPr>
        <w:tblW w:w="2793" w:type="dxa"/>
        <w:jc w:val="left"/>
        <w:tblInd w:w="0" w:type="dxa"/>
        <w:tblLayout w:type="fixed"/>
        <w:tblCellMar>
          <w:top w:w="0" w:type="dxa"/>
          <w:left w:w="0" w:type="dxa"/>
          <w:bottom w:w="0" w:type="dxa"/>
          <w:right w:w="0" w:type="dxa"/>
        </w:tblCellMar>
      </w:tblPr>
      <w:tblGrid>
        <w:gridCol w:w="38"/>
        <w:gridCol w:w="170"/>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Comments per post: 2+ average</w:t>
            </w:r>
          </w:p>
        </w:tc>
      </w:tr>
    </w:tbl>
    <w:tbl>
      <w:tblPr>
        <w:tblW w:w="2598" w:type="dxa"/>
        <w:jc w:val="left"/>
        <w:tblInd w:w="0" w:type="dxa"/>
        <w:tblLayout w:type="fixed"/>
        <w:tblCellMar>
          <w:top w:w="0" w:type="dxa"/>
          <w:left w:w="0" w:type="dxa"/>
          <w:bottom w:w="0" w:type="dxa"/>
          <w:right w:w="0" w:type="dxa"/>
        </w:tblCellMar>
      </w:tblPr>
      <w:tblGrid>
        <w:gridCol w:w="38"/>
        <w:gridCol w:w="17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per post: 0.5+ average</w:t>
            </w:r>
          </w:p>
        </w:tc>
      </w:tr>
    </w:tbl>
    <w:p>
      <w:pPr>
        <w:pStyle w:val="TextBody"/>
        <w:bidi w:val="0"/>
        <w:spacing w:before="0" w:after="0"/>
        <w:ind w:left="2879" w:right="0" w:hanging="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395"/>
        <w:gridCol w:w="153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w:t>
            </w:r>
          </w:p>
        </w:tc>
        <w:tc>
          <w:tcPr>
            <w:tcW w:w="1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Retention Metrics</w:t>
            </w:r>
          </w:p>
        </w:tc>
      </w:tr>
    </w:tbl>
    <w:p>
      <w:pPr>
        <w:pStyle w:val="TextBody"/>
        <w:bidi w:val="0"/>
        <w:spacing w:before="0" w:after="0"/>
        <w:ind w:left="2014" w:right="0" w:hanging="574"/>
        <w:jc w:val="both"/>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17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1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Social Feature Retention</w:t>
            </w:r>
          </w:p>
        </w:tc>
      </w:tr>
    </w:tbl>
    <w:p>
      <w:pPr>
        <w:pStyle w:val="TextBody"/>
        <w:bidi w:val="0"/>
        <w:spacing w:before="0" w:after="0"/>
        <w:ind w:left="2158" w:right="0" w:hanging="0"/>
        <w:jc w:val="both"/>
        <w:rPr>
          <w:caps w:val="false"/>
          <w:smallCaps w:val="false"/>
        </w:rPr>
      </w:pPr>
      <w:r>
        <w:rPr>
          <w:caps w:val="false"/>
          <w:smallCaps w:val="false"/>
        </w:rPr>
        <w:t> </w:t>
      </w:r>
    </w:p>
    <w:tbl>
      <w:tblPr>
        <w:tblW w:w="2073" w:type="dxa"/>
        <w:jc w:val="left"/>
        <w:tblInd w:w="0" w:type="dxa"/>
        <w:tblLayout w:type="fixed"/>
        <w:tblCellMar>
          <w:top w:w="0" w:type="dxa"/>
          <w:left w:w="0" w:type="dxa"/>
          <w:bottom w:w="0" w:type="dxa"/>
          <w:right w:w="0" w:type="dxa"/>
        </w:tblCellMar>
      </w:tblPr>
      <w:tblGrid>
        <w:gridCol w:w="38"/>
        <w:gridCol w:w="17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7-day retention: 40%+</w:t>
            </w:r>
          </w:p>
        </w:tc>
      </w:tr>
    </w:tbl>
    <w:tbl>
      <w:tblPr>
        <w:tblW w:w="2178" w:type="dxa"/>
        <w:jc w:val="left"/>
        <w:tblInd w:w="0" w:type="dxa"/>
        <w:tblLayout w:type="fixed"/>
        <w:tblCellMar>
          <w:top w:w="0" w:type="dxa"/>
          <w:left w:w="0" w:type="dxa"/>
          <w:bottom w:w="0" w:type="dxa"/>
          <w:right w:w="0" w:type="dxa"/>
        </w:tblCellMar>
      </w:tblPr>
      <w:tblGrid>
        <w:gridCol w:w="38"/>
        <w:gridCol w:w="17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30-day retention: 25%+</w:t>
            </w:r>
          </w:p>
        </w:tc>
      </w:tr>
    </w:tbl>
    <w:p>
      <w:pPr>
        <w:pStyle w:val="TextBody"/>
        <w:bidi w:val="0"/>
        <w:spacing w:before="0" w:after="0"/>
        <w:ind w:left="2879" w:right="0" w:hanging="0"/>
        <w:jc w:val="both"/>
        <w:rPr>
          <w:caps w:val="false"/>
          <w:smallCaps w:val="false"/>
        </w:rPr>
      </w:pPr>
      <w:r>
        <w:rPr>
          <w:caps w:val="false"/>
          <w:smallCaps w:val="false"/>
        </w:rPr>
        <w:t> </w:t>
      </w:r>
    </w:p>
    <w:tbl>
      <w:tblPr>
        <w:tblW w:w="1203" w:type="dxa"/>
        <w:jc w:val="left"/>
        <w:tblInd w:w="0" w:type="dxa"/>
        <w:tblLayout w:type="fixed"/>
        <w:tblCellMar>
          <w:top w:w="0" w:type="dxa"/>
          <w:left w:w="0" w:type="dxa"/>
          <w:bottom w:w="0" w:type="dxa"/>
          <w:right w:w="0" w:type="dxa"/>
        </w:tblCellMar>
      </w:tblPr>
      <w:tblGrid>
        <w:gridCol w:w="38"/>
        <w:gridCol w:w="170"/>
        <w:gridCol w:w="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Spent</w:t>
            </w:r>
          </w:p>
        </w:tc>
      </w:tr>
    </w:tbl>
    <w:p>
      <w:pPr>
        <w:pStyle w:val="TextBody"/>
        <w:bidi w:val="0"/>
        <w:spacing w:before="0" w:after="0"/>
        <w:ind w:left="2158" w:right="0" w:hanging="0"/>
        <w:jc w:val="both"/>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session duration: 8+ minutes</w:t>
            </w:r>
          </w:p>
        </w:tc>
      </w:tr>
    </w:tbl>
    <w:tbl>
      <w:tblPr>
        <w:tblW w:w="4143" w:type="dxa"/>
        <w:jc w:val="left"/>
        <w:tblInd w:w="0" w:type="dxa"/>
        <w:tblLayout w:type="fixed"/>
        <w:tblCellMar>
          <w:top w:w="0" w:type="dxa"/>
          <w:left w:w="0" w:type="dxa"/>
          <w:bottom w:w="0" w:type="dxa"/>
          <w:right w:w="0" w:type="dxa"/>
        </w:tblCellMar>
      </w:tblPr>
      <w:tblGrid>
        <w:gridCol w:w="38"/>
        <w:gridCol w:w="17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Daily time spent on social features: 12+ minutes</w:t>
            </w:r>
          </w:p>
        </w:tc>
      </w:tr>
    </w:tbl>
    <w:p>
      <w:pPr>
        <w:pStyle w:val="TextBody"/>
        <w:bidi w:val="0"/>
        <w:spacing w:before="0" w:after="0"/>
        <w:ind w:left="2879" w:right="0" w:hanging="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395"/>
        <w:gridCol w:w="137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w:t>
            </w:r>
          </w:p>
        </w:tc>
        <w:tc>
          <w:tcPr>
            <w:tcW w:w="13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Metrics</w:t>
            </w:r>
          </w:p>
        </w:tc>
      </w:tr>
    </w:tbl>
    <w:p>
      <w:pPr>
        <w:pStyle w:val="TextBody"/>
        <w:bidi w:val="0"/>
        <w:spacing w:before="0" w:after="0"/>
        <w:ind w:left="2014" w:right="0" w:hanging="574"/>
        <w:jc w:val="both"/>
        <w:rPr>
          <w:caps w:val="false"/>
          <w:smallCaps w:val="false"/>
        </w:rPr>
      </w:pPr>
      <w:r>
        <w:rPr>
          <w:caps w:val="false"/>
          <w:smallCaps w:val="false"/>
        </w:rPr>
        <w:t> </w:t>
      </w:r>
    </w:p>
    <w:tbl>
      <w:tblPr>
        <w:tblW w:w="1908" w:type="dxa"/>
        <w:jc w:val="left"/>
        <w:tblInd w:w="0" w:type="dxa"/>
        <w:tblLayout w:type="fixed"/>
        <w:tblCellMar>
          <w:top w:w="0" w:type="dxa"/>
          <w:left w:w="0" w:type="dxa"/>
          <w:bottom w:w="0" w:type="dxa"/>
          <w:right w:w="0" w:type="dxa"/>
        </w:tblCellMar>
      </w:tblPr>
      <w:tblGrid>
        <w:gridCol w:w="38"/>
        <w:gridCol w:w="170"/>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7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Network Expansion</w:t>
            </w:r>
          </w:p>
        </w:tc>
      </w:tr>
    </w:tbl>
    <w:p>
      <w:pPr>
        <w:pStyle w:val="TextBody"/>
        <w:bidi w:val="0"/>
        <w:spacing w:before="0" w:after="0"/>
        <w:ind w:left="2158" w:right="0" w:hanging="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connections per user: 15+ after 2 months</w:t>
            </w:r>
          </w:p>
        </w:tc>
      </w:tr>
    </w:tbl>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membership: 3+ hubs per user</w:t>
            </w:r>
          </w:p>
        </w:tc>
      </w:tr>
    </w:tbl>
    <w:p>
      <w:pPr>
        <w:pStyle w:val="TextBody"/>
        <w:bidi w:val="0"/>
        <w:spacing w:before="0" w:after="0"/>
        <w:ind w:left="2879" w:right="0" w:hanging="0"/>
        <w:jc w:val="both"/>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17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4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Viral Coefficient</w:t>
            </w:r>
          </w:p>
        </w:tc>
      </w:tr>
    </w:tbl>
    <w:p>
      <w:pPr>
        <w:pStyle w:val="TextBody"/>
        <w:bidi w:val="0"/>
        <w:spacing w:before="0" w:after="0"/>
        <w:ind w:left="2158" w:right="0" w:hanging="0"/>
        <w:jc w:val="both"/>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38"/>
        <w:gridCol w:w="170"/>
        <w:gridCol w:w="5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K-factor: 0.3+ (each user brings 0.3 new users through sharing)</w:t>
            </w:r>
          </w:p>
        </w:tc>
      </w:tr>
    </w:tbl>
    <w:p>
      <w:pPr>
        <w:pStyle w:val="TextBody"/>
        <w:bidi w:val="0"/>
        <w:spacing w:before="0" w:after="0"/>
        <w:ind w:left="2879" w:right="0" w:hanging="0"/>
        <w:jc w:val="both"/>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290"/>
        <w:gridCol w:w="9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9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Conclusion</w:t>
            </w:r>
          </w:p>
        </w:tc>
      </w:tr>
    </w:tbl>
    <w:p>
      <w:pPr>
        <w:pStyle w:val="TextBody"/>
        <w:bidi w:val="0"/>
        <w:spacing w:before="0" w:after="0"/>
        <w:ind w:left="1986" w:right="0" w:hanging="546"/>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product requirements document outlines the user flows, screen functionality, and feature priorities for the GXR App Social Module. It should be used in conjunction with the technical specifications document to guide the development and implementation of the social features.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focus should remain on creating a seamless social experience that enhances football fandom, encourages engagement, and integrates smoothly with the existing Specter backend services while maintaining a distinct user experience that puts social interaction at the forefront.</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85"/>
        <w:gridCol w:w="326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32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Discovery &amp; Feed Algorithms</w:t>
            </w:r>
          </w:p>
        </w:tc>
      </w:tr>
    </w:tbl>
    <w:p>
      <w:pPr>
        <w:pStyle w:val="TextBody"/>
        <w:bidi w:val="0"/>
        <w:spacing w:before="0" w:after="0"/>
        <w:ind w:left="1816" w:right="0" w:hanging="0"/>
        <w:jc w:val="righ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290"/>
        <w:gridCol w:w="194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194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For You” Feed Logic</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Personalized content feed that shows most relevant posts to each user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Selection Criteria</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1983" w:type="dxa"/>
        <w:jc w:val="left"/>
        <w:tblInd w:w="0" w:type="dxa"/>
        <w:tblLayout w:type="fixed"/>
        <w:tblCellMar>
          <w:top w:w="0" w:type="dxa"/>
          <w:left w:w="0" w:type="dxa"/>
          <w:bottom w:w="0" w:type="dxa"/>
          <w:right w:w="0" w:type="dxa"/>
        </w:tblCellMar>
      </w:tblPr>
      <w:tblGrid>
        <w:gridCol w:w="38"/>
        <w:gridCol w:w="170"/>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User Interest Signals</w:t>
            </w:r>
          </w:p>
        </w:tc>
      </w:tr>
    </w:tbl>
    <w:p>
      <w:pPr>
        <w:pStyle w:val="TextBody"/>
        <w:bidi w:val="0"/>
        <w:spacing w:before="0" w:after="0"/>
        <w:ind w:left="2159" w:right="0" w:hanging="0"/>
        <w:jc w:val="both"/>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Teams/players the user follows (highest weight)</w:t>
            </w:r>
          </w:p>
        </w:tc>
      </w:tr>
    </w:tbl>
    <w:tbl>
      <w:tblPr>
        <w:tblW w:w="5163" w:type="dxa"/>
        <w:jc w:val="left"/>
        <w:tblInd w:w="0" w:type="dxa"/>
        <w:tblLayout w:type="fixed"/>
        <w:tblCellMar>
          <w:top w:w="0" w:type="dxa"/>
          <w:left w:w="0" w:type="dxa"/>
          <w:bottom w:w="0" w:type="dxa"/>
          <w:right w:w="0" w:type="dxa"/>
        </w:tblCellMar>
      </w:tblPr>
      <w:tblGrid>
        <w:gridCol w:w="38"/>
        <w:gridCol w:w="17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types user engages with most (videos, images, polls)</w:t>
            </w:r>
          </w:p>
        </w:tc>
      </w:tr>
    </w:tbl>
    <w:tbl>
      <w:tblPr>
        <w:tblW w:w="2913" w:type="dxa"/>
        <w:jc w:val="left"/>
        <w:tblInd w:w="0" w:type="dxa"/>
        <w:tblLayout w:type="fixed"/>
        <w:tblCellMar>
          <w:top w:w="0" w:type="dxa"/>
          <w:left w:w="0" w:type="dxa"/>
          <w:bottom w:w="0" w:type="dxa"/>
          <w:right w:w="0" w:type="dxa"/>
        </w:tblCellMar>
      </w:tblPr>
      <w:tblGrid>
        <w:gridCol w:w="38"/>
        <w:gridCol w:w="17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Topics from hubs user has joined</w:t>
            </w:r>
          </w:p>
        </w:tc>
      </w:tr>
    </w:tbl>
    <w:tbl>
      <w:tblPr>
        <w:tblW w:w="6018" w:type="dxa"/>
        <w:jc w:val="left"/>
        <w:tblInd w:w="0" w:type="dxa"/>
        <w:tblLayout w:type="fixed"/>
        <w:tblCellMar>
          <w:top w:w="0" w:type="dxa"/>
          <w:left w:w="0" w:type="dxa"/>
          <w:bottom w:w="0" w:type="dxa"/>
          <w:right w:w="0" w:type="dxa"/>
        </w:tblCellMar>
      </w:tblPr>
      <w:tblGrid>
        <w:gridCol w:w="38"/>
        <w:gridCol w:w="17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Engagement patterns (what time they’re active, what they interact with)</w:t>
            </w:r>
          </w:p>
        </w:tc>
      </w:tr>
    </w:tbl>
    <w:p>
      <w:pPr>
        <w:pStyle w:val="TextBody"/>
        <w:bidi w:val="0"/>
        <w:spacing w:before="0" w:after="0"/>
        <w:ind w:left="2878" w:right="0" w:hanging="0"/>
        <w:jc w:val="both"/>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38"/>
        <w:gridCol w:w="17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Scoring Factors</w:t>
            </w:r>
          </w:p>
        </w:tc>
      </w:tr>
    </w:tbl>
    <w:p>
      <w:pPr>
        <w:pStyle w:val="TextBody"/>
        <w:bidi w:val="0"/>
        <w:spacing w:before="0" w:after="0"/>
        <w:ind w:left="2159" w:right="0" w:hanging="0"/>
        <w:jc w:val="right"/>
        <w:rPr>
          <w:caps w:val="false"/>
          <w:smallCaps w:val="false"/>
        </w:rPr>
      </w:pPr>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38"/>
        <w:gridCol w:w="17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6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Relevance Score (40% weight)</w:t>
            </w:r>
          </w:p>
        </w:tc>
      </w:tr>
    </w:tbl>
    <w:p>
      <w:pPr>
        <w:pStyle w:val="TextBody"/>
        <w:bidi w:val="0"/>
        <w:spacing w:before="0" w:after="0"/>
        <w:ind w:left="2878" w:right="0" w:hanging="0"/>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17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Match with user’s favorite teams/leagues</w:t>
            </w:r>
          </w:p>
        </w:tc>
      </w:tr>
    </w:tbl>
    <w:tbl>
      <w:tblPr>
        <w:tblW w:w="2778" w:type="dxa"/>
        <w:jc w:val="left"/>
        <w:tblInd w:w="0" w:type="dxa"/>
        <w:tblLayout w:type="fixed"/>
        <w:tblCellMar>
          <w:top w:w="0" w:type="dxa"/>
          <w:left w:w="0" w:type="dxa"/>
          <w:bottom w:w="0" w:type="dxa"/>
          <w:right w:w="0" w:type="dxa"/>
        </w:tblCellMar>
      </w:tblPr>
      <w:tblGrid>
        <w:gridCol w:w="38"/>
        <w:gridCol w:w="17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 is someone user follows</w:t>
            </w:r>
          </w:p>
        </w:tc>
      </w:tr>
    </w:tbl>
    <w:tbl>
      <w:tblPr>
        <w:tblW w:w="2838" w:type="dxa"/>
        <w:jc w:val="left"/>
        <w:tblInd w:w="0" w:type="dxa"/>
        <w:tblLayout w:type="fixed"/>
        <w:tblCellMar>
          <w:top w:w="0" w:type="dxa"/>
          <w:left w:w="0" w:type="dxa"/>
          <w:bottom w:w="0" w:type="dxa"/>
          <w:right w:w="0" w:type="dxa"/>
        </w:tblCellMar>
      </w:tblPr>
      <w:tblGrid>
        <w:gridCol w:w="38"/>
        <w:gridCol w:w="17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from user’s joined hubs</w:t>
            </w:r>
          </w:p>
        </w:tc>
      </w:tr>
    </w:tbl>
    <w:tbl>
      <w:tblPr>
        <w:tblW w:w="3348" w:type="dxa"/>
        <w:jc w:val="left"/>
        <w:tblInd w:w="0" w:type="dxa"/>
        <w:tblLayout w:type="fixed"/>
        <w:tblCellMar>
          <w:top w:w="0" w:type="dxa"/>
          <w:left w:w="0" w:type="dxa"/>
          <w:bottom w:w="0" w:type="dxa"/>
          <w:right w:w="0" w:type="dxa"/>
        </w:tblCellMar>
      </w:tblPr>
      <w:tblGrid>
        <w:gridCol w:w="38"/>
        <w:gridCol w:w="17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previously engaged content</w:t>
            </w:r>
          </w:p>
        </w:tc>
      </w:tr>
    </w:tbl>
    <w:p>
      <w:pPr>
        <w:pStyle w:val="TextBody"/>
        <w:bidi w:val="0"/>
        <w:spacing w:before="0" w:after="0"/>
        <w:ind w:left="3599" w:right="0" w:hanging="0"/>
        <w:jc w:val="both"/>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17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7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Engagement Score (30% weight)</w:t>
            </w:r>
          </w:p>
        </w:tc>
      </w:tr>
    </w:tbl>
    <w:p>
      <w:pPr>
        <w:pStyle w:val="TextBody"/>
        <w:bidi w:val="0"/>
        <w:spacing w:before="0" w:after="0"/>
        <w:ind w:left="2878" w:right="0" w:hanging="0"/>
        <w:jc w:val="right"/>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engagement (likes + comments + shares)</w:t>
            </w:r>
          </w:p>
        </w:tc>
      </w:tr>
    </w:tbl>
    <w:tbl>
      <w:tblPr>
        <w:tblW w:w="4788" w:type="dxa"/>
        <w:jc w:val="left"/>
        <w:tblInd w:w="0" w:type="dxa"/>
        <w:tblLayout w:type="fixed"/>
        <w:tblCellMar>
          <w:top w:w="0" w:type="dxa"/>
          <w:left w:w="0" w:type="dxa"/>
          <w:bottom w:w="0" w:type="dxa"/>
          <w:right w:w="0" w:type="dxa"/>
        </w:tblCellMar>
      </w:tblPr>
      <w:tblGrid>
        <w:gridCol w:w="38"/>
        <w:gridCol w:w="170"/>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Engagement velocity (how fast it’s getting engagement)</w:t>
            </w:r>
          </w:p>
        </w:tc>
      </w:tr>
    </w:tbl>
    <w:tbl>
      <w:tblPr>
        <w:tblW w:w="4353" w:type="dxa"/>
        <w:jc w:val="left"/>
        <w:tblInd w:w="0" w:type="dxa"/>
        <w:tblLayout w:type="fixed"/>
        <w:tblCellMar>
          <w:top w:w="0" w:type="dxa"/>
          <w:left w:w="0" w:type="dxa"/>
          <w:bottom w:w="0" w:type="dxa"/>
          <w:right w:w="0" w:type="dxa"/>
        </w:tblCellMar>
      </w:tblPr>
      <w:tblGrid>
        <w:gridCol w:w="38"/>
        <w:gridCol w:w="170"/>
        <w:gridCol w:w="41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Engagement from user’s network (friends’ activity)</w:t>
            </w:r>
          </w:p>
        </w:tc>
      </w:tr>
    </w:tbl>
    <w:p>
      <w:pPr>
        <w:pStyle w:val="TextBody"/>
        <w:bidi w:val="0"/>
        <w:spacing w:before="0" w:after="0"/>
        <w:ind w:left="3599" w:right="0" w:hanging="0"/>
        <w:jc w:val="both"/>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5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Freshness Score (20% weight)</w:t>
            </w:r>
          </w:p>
        </w:tc>
      </w:tr>
    </w:tbl>
    <w:p>
      <w:pPr>
        <w:pStyle w:val="TextBody"/>
        <w:bidi w:val="0"/>
        <w:spacing w:before="0" w:after="0"/>
        <w:ind w:left="2878" w:right="0" w:hanging="0"/>
        <w:jc w:val="righ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17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Newer content gets priority</w:t>
            </w:r>
          </w:p>
        </w:tc>
      </w:tr>
    </w:tbl>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exceptional older content can still appear</w:t>
            </w:r>
          </w:p>
        </w:tc>
      </w:tr>
    </w:tbl>
    <w:tbl>
      <w:tblPr>
        <w:tblW w:w="3183" w:type="dxa"/>
        <w:jc w:val="left"/>
        <w:tblInd w:w="0" w:type="dxa"/>
        <w:tblLayout w:type="fixed"/>
        <w:tblCellMar>
          <w:top w:w="0" w:type="dxa"/>
          <w:left w:w="0" w:type="dxa"/>
          <w:bottom w:w="0" w:type="dxa"/>
          <w:right w:w="0" w:type="dxa"/>
        </w:tblCellMar>
      </w:tblPr>
      <w:tblGrid>
        <w:gridCol w:w="38"/>
        <w:gridCol w:w="17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 older than 7 days rarely shown</w:t>
            </w:r>
          </w:p>
        </w:tc>
      </w:tr>
    </w:tbl>
    <w:p>
      <w:pPr>
        <w:pStyle w:val="TextBody"/>
        <w:bidi w:val="0"/>
        <w:spacing w:before="0" w:after="0"/>
        <w:ind w:left="3599" w:right="0" w:hanging="0"/>
        <w:jc w:val="both"/>
        <w:rPr>
          <w:caps w:val="false"/>
          <w:smallCaps w:val="false"/>
        </w:rPr>
      </w:pPr>
      <w:r>
        <w:rPr>
          <w:caps w:val="false"/>
          <w:smallCaps w:val="false"/>
        </w:rPr>
        <w:t> </w:t>
      </w:r>
    </w:p>
    <w:tbl>
      <w:tblPr>
        <w:tblW w:w="2583" w:type="dxa"/>
        <w:jc w:val="left"/>
        <w:tblInd w:w="0" w:type="dxa"/>
        <w:tblLayout w:type="fixed"/>
        <w:tblCellMar>
          <w:top w:w="0" w:type="dxa"/>
          <w:left w:w="0" w:type="dxa"/>
          <w:bottom w:w="0" w:type="dxa"/>
          <w:right w:w="0" w:type="dxa"/>
        </w:tblCellMar>
      </w:tblPr>
      <w:tblGrid>
        <w:gridCol w:w="38"/>
        <w:gridCol w:w="170"/>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3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Quality Score (10% weight)</w:t>
            </w:r>
          </w:p>
        </w:tc>
      </w:tr>
    </w:tbl>
    <w:p>
      <w:pPr>
        <w:pStyle w:val="TextBody"/>
        <w:bidi w:val="0"/>
        <w:spacing w:before="0" w:after="0"/>
        <w:ind w:left="2878" w:right="0" w:hanging="0"/>
        <w:jc w:val="right"/>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38"/>
        <w:gridCol w:w="17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verified/elite users</w:t>
            </w:r>
          </w:p>
        </w:tc>
      </w:tr>
    </w:tbl>
    <w:tbl>
      <w:tblPr>
        <w:tblW w:w="3453" w:type="dxa"/>
        <w:jc w:val="left"/>
        <w:tblInd w:w="0" w:type="dxa"/>
        <w:tblLayout w:type="fixed"/>
        <w:tblCellMar>
          <w:top w:w="0" w:type="dxa"/>
          <w:left w:w="0" w:type="dxa"/>
          <w:bottom w:w="0" w:type="dxa"/>
          <w:right w:w="0" w:type="dxa"/>
        </w:tblCellMar>
      </w:tblPr>
      <w:tblGrid>
        <w:gridCol w:w="38"/>
        <w:gridCol w:w="17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High-quality media (not blurry/low-res)</w:t>
            </w:r>
          </w:p>
        </w:tc>
      </w:tr>
    </w:tbl>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Meaningful text content (not just emojis)</w:t>
            </w:r>
          </w:p>
        </w:tc>
      </w:tr>
    </w:tbl>
    <w:p>
      <w:pPr>
        <w:pStyle w:val="TextBody"/>
        <w:bidi w:val="0"/>
        <w:spacing w:before="0" w:after="0"/>
        <w:ind w:left="359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Diversity Rules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38"/>
        <w:gridCol w:w="170"/>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more than 2 posts in a row from same author</w:t>
            </w:r>
          </w:p>
        </w:tc>
      </w:tr>
    </w:tbl>
    <w:tbl>
      <w:tblPr>
        <w:tblW w:w="4218" w:type="dxa"/>
        <w:jc w:val="left"/>
        <w:tblInd w:w="0" w:type="dxa"/>
        <w:tblLayout w:type="fixed"/>
        <w:tblCellMar>
          <w:top w:w="0" w:type="dxa"/>
          <w:left w:w="0" w:type="dxa"/>
          <w:bottom w:w="0" w:type="dxa"/>
          <w:right w:w="0" w:type="dxa"/>
        </w:tblCellMar>
      </w:tblPr>
      <w:tblGrid>
        <w:gridCol w:w="38"/>
        <w:gridCol w:w="17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Mix content types (don’t show 5 videos in a row)</w:t>
            </w:r>
          </w:p>
        </w:tc>
      </w:tr>
    </w:tbl>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at least 20% content from new sources user hasn’t seen</w:t>
            </w:r>
          </w:p>
        </w:tc>
      </w:tr>
    </w:tbl>
    <w:tbl>
      <w:tblPr>
        <w:tblW w:w="4443" w:type="dxa"/>
        <w:jc w:val="left"/>
        <w:tblInd w:w="0" w:type="dxa"/>
        <w:tblLayout w:type="fixed"/>
        <w:tblCellMar>
          <w:top w:w="0" w:type="dxa"/>
          <w:left w:w="0" w:type="dxa"/>
          <w:bottom w:w="0" w:type="dxa"/>
          <w:right w:w="0" w:type="dxa"/>
        </w:tblCellMar>
      </w:tblPr>
      <w:tblGrid>
        <w:gridCol w:w="38"/>
        <w:gridCol w:w="17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between different teams/topics user follows</w:t>
            </w:r>
          </w:p>
        </w:tc>
      </w:tr>
    </w:tbl>
    <w:p>
      <w:pPr>
        <w:pStyle w:val="TextBody"/>
        <w:bidi w:val="0"/>
        <w:spacing w:before="0" w:after="0"/>
        <w:ind w:left="215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159" w:right="0" w:hanging="360"/>
        <w:jc w:val="both"/>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290"/>
        <w:gridCol w:w="209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209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Following” Feed Logic</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Chronological feed from accounts user explicitly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Display Rules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Pure chronological order (newest first)</w:t>
            </w:r>
          </w:p>
        </w:tc>
      </w:tr>
    </w:tbl>
    <w:tbl>
      <w:tblPr>
        <w:tblW w:w="3723" w:type="dxa"/>
        <w:jc w:val="left"/>
        <w:tblInd w:w="0" w:type="dxa"/>
        <w:tblLayout w:type="fixed"/>
        <w:tblCellMar>
          <w:top w:w="0" w:type="dxa"/>
          <w:left w:w="0" w:type="dxa"/>
          <w:bottom w:w="0" w:type="dxa"/>
          <w:right w:w="0" w:type="dxa"/>
        </w:tblCellMar>
      </w:tblPr>
      <w:tblGrid>
        <w:gridCol w:w="38"/>
        <w:gridCol w:w="170"/>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all content from followed accounts</w:t>
            </w:r>
          </w:p>
        </w:tc>
      </w:tr>
    </w:tbl>
    <w:tbl>
      <w:tblPr>
        <w:tblW w:w="2178" w:type="dxa"/>
        <w:jc w:val="left"/>
        <w:tblInd w:w="0" w:type="dxa"/>
        <w:tblLayout w:type="fixed"/>
        <w:tblCellMar>
          <w:top w:w="0" w:type="dxa"/>
          <w:left w:w="0" w:type="dxa"/>
          <w:bottom w:w="0" w:type="dxa"/>
          <w:right w:w="0" w:type="dxa"/>
        </w:tblCellMar>
      </w:tblPr>
      <w:tblGrid>
        <w:gridCol w:w="38"/>
        <w:gridCol w:w="17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algorithmic filtering</w:t>
            </w:r>
          </w:p>
        </w:tc>
      </w:tr>
    </w:tbl>
    <w:tbl>
      <w:tblPr>
        <w:tblW w:w="5088" w:type="dxa"/>
        <w:jc w:val="left"/>
        <w:tblInd w:w="0" w:type="dxa"/>
        <w:tblLayout w:type="fixed"/>
        <w:tblCellMar>
          <w:top w:w="0" w:type="dxa"/>
          <w:left w:w="0" w:type="dxa"/>
          <w:bottom w:w="0" w:type="dxa"/>
          <w:right w:w="0" w:type="dxa"/>
        </w:tblCellMar>
      </w:tblPr>
      <w:tblGrid>
        <w:gridCol w:w="38"/>
        <w:gridCol w:w="17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Group multiple posts from same user if posted within 1 hour</w:t>
            </w:r>
          </w:p>
        </w:tc>
      </w:tr>
    </w:tbl>
    <w:tbl>
      <w:tblPr>
        <w:tblW w:w="6393" w:type="dxa"/>
        <w:jc w:val="left"/>
        <w:tblInd w:w="0" w:type="dxa"/>
        <w:tblLayout w:type="fixed"/>
        <w:tblCellMar>
          <w:top w:w="0" w:type="dxa"/>
          <w:left w:w="0" w:type="dxa"/>
          <w:bottom w:w="0" w:type="dxa"/>
          <w:right w:w="0" w:type="dxa"/>
        </w:tblCellMar>
      </w:tblPr>
      <w:tblGrid>
        <w:gridCol w:w="38"/>
        <w:gridCol w:w="17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Show “You’re all caught up” message after showing last 48 hours of content</w:t>
            </w:r>
          </w:p>
        </w:tc>
      </w:tr>
    </w:tbl>
    <w:p>
      <w:pPr>
        <w:pStyle w:val="TextBody"/>
        <w:bidi w:val="0"/>
        <w:spacing w:before="0" w:after="0"/>
        <w:ind w:left="2159"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290"/>
        <w:gridCol w:w="20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03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Trending” Feed Logic</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Surface most engaging content across entire platform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Trending Qualification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17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50 engagements in first 2 hours</w:t>
            </w:r>
          </w:p>
        </w:tc>
      </w:tr>
    </w:tbl>
    <w:tbl>
      <w:tblPr>
        <w:tblW w:w="4878" w:type="dxa"/>
        <w:jc w:val="left"/>
        <w:tblInd w:w="0" w:type="dxa"/>
        <w:tblLayout w:type="fixed"/>
        <w:tblCellMar>
          <w:top w:w="0" w:type="dxa"/>
          <w:left w:w="0" w:type="dxa"/>
          <w:bottom w:w="0" w:type="dxa"/>
          <w:right w:w="0" w:type="dxa"/>
        </w:tblCellMar>
      </w:tblPr>
      <w:tblGrid>
        <w:gridCol w:w="38"/>
        <w:gridCol w:w="17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Engagement rate above platform average (currently ~5%)</w:t>
            </w:r>
          </w:p>
        </w:tc>
      </w:tr>
    </w:tbl>
    <w:tbl>
      <w:tblPr>
        <w:tblW w:w="3243" w:type="dxa"/>
        <w:jc w:val="left"/>
        <w:tblInd w:w="0" w:type="dxa"/>
        <w:tblLayout w:type="fixed"/>
        <w:tblCellMar>
          <w:top w:w="0" w:type="dxa"/>
          <w:left w:w="0" w:type="dxa"/>
          <w:bottom w:w="0" w:type="dxa"/>
          <w:right w:w="0" w:type="dxa"/>
        </w:tblCellMar>
      </w:tblPr>
      <w:tblGrid>
        <w:gridCol w:w="38"/>
        <w:gridCol w:w="17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engagement (not declining)</w:t>
            </w:r>
          </w:p>
        </w:tc>
      </w:tr>
    </w:tbl>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from blocked/reported users</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Trending Score Calculation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Engagement velocity matters most (engagement per hour)</w:t>
            </w:r>
          </w:p>
        </w:tc>
      </w:tr>
    </w:tbl>
    <w:tbl>
      <w:tblPr>
        <w:tblW w:w="3723" w:type="dxa"/>
        <w:jc w:val="left"/>
        <w:tblInd w:w="0" w:type="dxa"/>
        <w:tblLayout w:type="fixed"/>
        <w:tblCellMar>
          <w:top w:w="0" w:type="dxa"/>
          <w:left w:w="0" w:type="dxa"/>
          <w:bottom w:w="0" w:type="dxa"/>
          <w:right w:w="0" w:type="dxa"/>
        </w:tblCellMar>
      </w:tblPr>
      <w:tblGrid>
        <w:gridCol w:w="38"/>
        <w:gridCol w:w="170"/>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for content from verified users (1.5x)</w:t>
            </w:r>
          </w:p>
        </w:tc>
      </w:tr>
    </w:tbl>
    <w:tbl>
      <w:tblPr>
        <w:tblW w:w="3558" w:type="dxa"/>
        <w:jc w:val="left"/>
        <w:tblInd w:w="0" w:type="dxa"/>
        <w:tblLayout w:type="fixed"/>
        <w:tblCellMar>
          <w:top w:w="0" w:type="dxa"/>
          <w:left w:w="0" w:type="dxa"/>
          <w:bottom w:w="0" w:type="dxa"/>
          <w:right w:w="0" w:type="dxa"/>
        </w:tblCellMar>
      </w:tblPr>
      <w:tblGrid>
        <w:gridCol w:w="38"/>
        <w:gridCol w:w="17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for original content vs reposts (2x)</w:t>
            </w:r>
          </w:p>
        </w:tc>
      </w:tr>
    </w:tbl>
    <w:tbl>
      <w:tblPr>
        <w:tblW w:w="5928" w:type="dxa"/>
        <w:jc w:val="left"/>
        <w:tblInd w:w="0" w:type="dxa"/>
        <w:tblLayout w:type="fixed"/>
        <w:tblCellMar>
          <w:top w:w="0" w:type="dxa"/>
          <w:left w:w="0" w:type="dxa"/>
          <w:bottom w:w="0" w:type="dxa"/>
          <w:right w:w="0" w:type="dxa"/>
        </w:tblCellMar>
      </w:tblPr>
      <w:tblGrid>
        <w:gridCol w:w="38"/>
        <w:gridCol w:w="17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Decay factor - older content needs higher engagement to stay trending</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Display Order</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17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Sort by trending score (highest first)</w:t>
            </w:r>
          </w:p>
        </w:tc>
      </w:tr>
    </w:tbl>
    <w:tbl>
      <w:tblPr>
        <w:tblW w:w="2298" w:type="dxa"/>
        <w:jc w:val="left"/>
        <w:tblInd w:w="0" w:type="dxa"/>
        <w:tblLayout w:type="fixed"/>
        <w:tblCellMar>
          <w:top w:w="0" w:type="dxa"/>
          <w:left w:w="0" w:type="dxa"/>
          <w:bottom w:w="0" w:type="dxa"/>
          <w:right w:w="0" w:type="dxa"/>
        </w:tblCellMar>
      </w:tblPr>
      <w:tblGrid>
        <w:gridCol w:w="38"/>
        <w:gridCol w:w="17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Refresh every 30 minutes</w:t>
            </w:r>
          </w:p>
        </w:tc>
      </w:tr>
    </w:tbl>
    <w:tbl>
      <w:tblPr>
        <w:tblW w:w="3873" w:type="dxa"/>
        <w:jc w:val="left"/>
        <w:tblInd w:w="0" w:type="dxa"/>
        <w:tblLayout w:type="fixed"/>
        <w:tblCellMar>
          <w:top w:w="0" w:type="dxa"/>
          <w:left w:w="0" w:type="dxa"/>
          <w:bottom w:w="0" w:type="dxa"/>
          <w:right w:w="0" w:type="dxa"/>
        </w:tblCellMar>
      </w:tblPr>
      <w:tblGrid>
        <w:gridCol w:w="38"/>
        <w:gridCol w:w="17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Keep content maximum 24 hours in trending</w:t>
            </w:r>
          </w:p>
        </w:tc>
      </w:tr>
    </w:tbl>
    <w:p>
      <w:pPr>
        <w:pStyle w:val="TextBody"/>
        <w:bidi w:val="0"/>
        <w:spacing w:before="0" w:after="0"/>
        <w:ind w:left="2159"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185"/>
        <w:gridCol w:w="234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3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(Community) Features</w:t>
            </w:r>
          </w:p>
        </w:tc>
      </w:tr>
    </w:tbl>
    <w:p>
      <w:pPr>
        <w:pStyle w:val="TextBody"/>
        <w:bidi w:val="0"/>
        <w:spacing w:before="0" w:after="0"/>
        <w:ind w:left="1816" w:right="0" w:hanging="0"/>
        <w:jc w:val="righ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290"/>
        <w:gridCol w:w="311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31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Discovery &amp; Recommendations</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Categories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3903" w:type="dxa"/>
        <w:jc w:val="left"/>
        <w:tblInd w:w="0" w:type="dxa"/>
        <w:tblLayout w:type="fixed"/>
        <w:tblCellMar>
          <w:top w:w="0" w:type="dxa"/>
          <w:left w:w="0" w:type="dxa"/>
          <w:bottom w:w="0" w:type="dxa"/>
          <w:right w:w="0" w:type="dxa"/>
        </w:tblCellMar>
      </w:tblPr>
      <w:tblGrid>
        <w:gridCol w:w="38"/>
        <w:gridCol w:w="17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Team-Specific Hubs</w:t>
            </w:r>
            <w:r>
              <w:rPr>
                <w:rFonts w:ascii="Times New Roman;Times;Serif" w:hAnsi="Times New Roman;Times;Serif"/>
                <w:b w:val="false"/>
                <w:i w:val="false"/>
                <w:caps w:val="false"/>
                <w:smallCaps w:val="false"/>
                <w:sz w:val="20"/>
              </w:rPr>
              <w:t xml:space="preserve"> (e.g., “Barcelona Fans”)</w:t>
            </w:r>
          </w:p>
        </w:tc>
      </w:tr>
    </w:tbl>
    <w:tbl>
      <w:tblPr>
        <w:tblW w:w="4263" w:type="dxa"/>
        <w:jc w:val="left"/>
        <w:tblInd w:w="0" w:type="dxa"/>
        <w:tblLayout w:type="fixed"/>
        <w:tblCellMar>
          <w:top w:w="0" w:type="dxa"/>
          <w:left w:w="0" w:type="dxa"/>
          <w:bottom w:w="0" w:type="dxa"/>
          <w:right w:w="0" w:type="dxa"/>
        </w:tblCellMar>
      </w:tblPr>
      <w:tblGrid>
        <w:gridCol w:w="38"/>
        <w:gridCol w:w="170"/>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League Hubs</w:t>
            </w:r>
            <w:r>
              <w:rPr>
                <w:rFonts w:ascii="Times New Roman;Times;Serif" w:hAnsi="Times New Roman;Times;Serif"/>
                <w:b w:val="false"/>
                <w:i w:val="false"/>
                <w:caps w:val="false"/>
                <w:smallCaps w:val="false"/>
                <w:sz w:val="20"/>
              </w:rPr>
              <w:t xml:space="preserve"> (e.g., “Premier League Discussion”)</w:t>
            </w:r>
          </w:p>
        </w:tc>
      </w:tr>
    </w:tbl>
    <w:tbl>
      <w:tblPr>
        <w:tblW w:w="4623" w:type="dxa"/>
        <w:jc w:val="left"/>
        <w:tblInd w:w="0" w:type="dxa"/>
        <w:tblLayout w:type="fixed"/>
        <w:tblCellMar>
          <w:top w:w="0" w:type="dxa"/>
          <w:left w:w="0" w:type="dxa"/>
          <w:bottom w:w="0" w:type="dxa"/>
          <w:right w:w="0" w:type="dxa"/>
        </w:tblCellMar>
      </w:tblPr>
      <w:tblGrid>
        <w:gridCol w:w="38"/>
        <w:gridCol w:w="17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Topic Hubs</w:t>
            </w:r>
            <w:r>
              <w:rPr>
                <w:rFonts w:ascii="Times New Roman;Times;Serif" w:hAnsi="Times New Roman;Times;Serif"/>
                <w:b w:val="false"/>
                <w:i w:val="false"/>
                <w:caps w:val="false"/>
                <w:smallCaps w:val="false"/>
                <w:sz w:val="20"/>
              </w:rPr>
              <w:t xml:space="preserve"> (e.g., “Transfer News”, “Match Analysis”)</w:t>
            </w:r>
          </w:p>
        </w:tc>
      </w:tr>
    </w:tbl>
    <w:tbl>
      <w:tblPr>
        <w:tblW w:w="3303" w:type="dxa"/>
        <w:jc w:val="left"/>
        <w:tblInd w:w="0" w:type="dxa"/>
        <w:tblLayout w:type="fixed"/>
        <w:tblCellMar>
          <w:top w:w="0" w:type="dxa"/>
          <w:left w:w="0" w:type="dxa"/>
          <w:bottom w:w="0" w:type="dxa"/>
          <w:right w:w="0" w:type="dxa"/>
        </w:tblCellMar>
      </w:tblPr>
      <w:tblGrid>
        <w:gridCol w:w="38"/>
        <w:gridCol w:w="17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Event Hubs</w:t>
            </w:r>
            <w:r>
              <w:rPr>
                <w:rFonts w:ascii="Times New Roman;Times;Serif" w:hAnsi="Times New Roman;Times;Serif"/>
                <w:b w:val="false"/>
                <w:i w:val="false"/>
                <w:caps w:val="false"/>
                <w:smallCaps w:val="false"/>
                <w:sz w:val="20"/>
              </w:rPr>
              <w:t xml:space="preserve"> (e.g., “World Cup 2026”)</w:t>
            </w:r>
          </w:p>
        </w:tc>
      </w:tr>
    </w:tbl>
    <w:tbl>
      <w:tblPr>
        <w:tblW w:w="3783" w:type="dxa"/>
        <w:jc w:val="left"/>
        <w:tblInd w:w="0" w:type="dxa"/>
        <w:tblLayout w:type="fixed"/>
        <w:tblCellMar>
          <w:top w:w="0" w:type="dxa"/>
          <w:left w:w="0" w:type="dxa"/>
          <w:bottom w:w="0" w:type="dxa"/>
          <w:right w:w="0" w:type="dxa"/>
        </w:tblCellMar>
      </w:tblPr>
      <w:tblGrid>
        <w:gridCol w:w="38"/>
        <w:gridCol w:w="17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3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Local Hubs</w:t>
            </w:r>
            <w:r>
              <w:rPr>
                <w:rFonts w:ascii="Times New Roman;Times;Serif" w:hAnsi="Times New Roman;Times;Serif"/>
                <w:b w:val="false"/>
                <w:i w:val="false"/>
                <w:caps w:val="false"/>
                <w:smallCaps w:val="false"/>
                <w:sz w:val="20"/>
              </w:rPr>
              <w:t xml:space="preserve"> (e.g., “Mumbai Football Fans”)</w:t>
            </w:r>
          </w:p>
        </w:tc>
      </w:tr>
    </w:tbl>
    <w:p>
      <w:pPr>
        <w:pStyle w:val="TextBody"/>
        <w:bidi w:val="0"/>
        <w:spacing w:before="0" w:after="0"/>
        <w:ind w:left="2158"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158"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Logic</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New Users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17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Show most popular hubs in their country</w:t>
            </w:r>
          </w:p>
        </w:tc>
      </w:tr>
    </w:tbl>
    <w:tbl>
      <w:tblPr>
        <w:tblW w:w="4788" w:type="dxa"/>
        <w:jc w:val="left"/>
        <w:tblInd w:w="0" w:type="dxa"/>
        <w:tblLayout w:type="fixed"/>
        <w:tblCellMar>
          <w:top w:w="0" w:type="dxa"/>
          <w:left w:w="0" w:type="dxa"/>
          <w:bottom w:w="0" w:type="dxa"/>
          <w:right w:w="0" w:type="dxa"/>
        </w:tblCellMar>
      </w:tblPr>
      <w:tblGrid>
        <w:gridCol w:w="38"/>
        <w:gridCol w:w="170"/>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Show hubs for teams from their selected favorite leagues</w:t>
            </w:r>
          </w:p>
        </w:tc>
      </w:tr>
    </w:tbl>
    <w:tbl>
      <w:tblPr>
        <w:tblW w:w="3363" w:type="dxa"/>
        <w:jc w:val="left"/>
        <w:tblInd w:w="0" w:type="dxa"/>
        <w:tblLayout w:type="fixed"/>
        <w:tblCellMar>
          <w:top w:w="0" w:type="dxa"/>
          <w:left w:w="0" w:type="dxa"/>
          <w:bottom w:w="0" w:type="dxa"/>
          <w:right w:w="0" w:type="dxa"/>
        </w:tblCellMar>
      </w:tblPr>
      <w:tblGrid>
        <w:gridCol w:w="38"/>
        <w:gridCol w:w="17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Show general football discussion hubs</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Existing Users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4173" w:type="dxa"/>
        <w:jc w:val="left"/>
        <w:tblInd w:w="0" w:type="dxa"/>
        <w:tblLayout w:type="fixed"/>
        <w:tblCellMar>
          <w:top w:w="0" w:type="dxa"/>
          <w:left w:w="0" w:type="dxa"/>
          <w:bottom w:w="0" w:type="dxa"/>
          <w:right w:w="0" w:type="dxa"/>
        </w:tblCellMar>
      </w:tblPr>
      <w:tblGrid>
        <w:gridCol w:w="38"/>
        <w:gridCol w:w="17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 related to their favorite teams (top priority)</w:t>
            </w:r>
          </w:p>
        </w:tc>
      </w:tr>
    </w:tbl>
    <w:tbl>
      <w:tblPr>
        <w:tblW w:w="2718" w:type="dxa"/>
        <w:jc w:val="left"/>
        <w:tblInd w:w="0" w:type="dxa"/>
        <w:tblLayout w:type="fixed"/>
        <w:tblCellMar>
          <w:top w:w="0" w:type="dxa"/>
          <w:left w:w="0" w:type="dxa"/>
          <w:bottom w:w="0" w:type="dxa"/>
          <w:right w:w="0" w:type="dxa"/>
        </w:tblCellMar>
      </w:tblPr>
      <w:tblGrid>
        <w:gridCol w:w="38"/>
        <w:gridCol w:w="170"/>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 their friends are active in</w:t>
            </w:r>
          </w:p>
        </w:tc>
      </w:tr>
    </w:tbl>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 related to content they engage with</w:t>
            </w:r>
          </w:p>
        </w:tc>
      </w:tr>
    </w:tbl>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hubs based on their location</w:t>
            </w:r>
          </w:p>
        </w:tc>
      </w:tr>
    </w:tbl>
    <w:tbl>
      <w:tblPr>
        <w:tblW w:w="3768" w:type="dxa"/>
        <w:jc w:val="left"/>
        <w:tblInd w:w="0" w:type="dxa"/>
        <w:tblLayout w:type="fixed"/>
        <w:tblCellMar>
          <w:top w:w="0" w:type="dxa"/>
          <w:left w:w="0" w:type="dxa"/>
          <w:bottom w:w="0" w:type="dxa"/>
          <w:right w:w="0" w:type="dxa"/>
        </w:tblCellMar>
      </w:tblPr>
      <w:tblGrid>
        <w:gridCol w:w="38"/>
        <w:gridCol w:w="17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hubs to ones they’ve already joined</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Ranking Factors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170"/>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Relevance</w:t>
            </w:r>
            <w:r>
              <w:rPr>
                <w:rFonts w:ascii="Times New Roman;Times;Serif" w:hAnsi="Times New Roman;Times;Serif"/>
                <w:b w:val="false"/>
                <w:i w:val="false"/>
                <w:caps w:val="false"/>
                <w:smallCaps w:val="false"/>
                <w:sz w:val="20"/>
              </w:rPr>
              <w:t xml:space="preserve"> - How well it matches user interests</w:t>
            </w:r>
          </w:p>
        </w:tc>
      </w:tr>
    </w:tbl>
    <w:tbl>
      <w:tblPr>
        <w:tblW w:w="3483" w:type="dxa"/>
        <w:jc w:val="left"/>
        <w:tblInd w:w="0" w:type="dxa"/>
        <w:tblLayout w:type="fixed"/>
        <w:tblCellMar>
          <w:top w:w="0" w:type="dxa"/>
          <w:left w:w="0" w:type="dxa"/>
          <w:bottom w:w="0" w:type="dxa"/>
          <w:right w:w="0" w:type="dxa"/>
        </w:tblCellMar>
      </w:tblPr>
      <w:tblGrid>
        <w:gridCol w:w="38"/>
        <w:gridCol w:w="170"/>
        <w:gridCol w:w="3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Activity</w:t>
            </w:r>
            <w:r>
              <w:rPr>
                <w:rFonts w:ascii="Times New Roman;Times;Serif" w:hAnsi="Times New Roman;Times;Serif"/>
                <w:b w:val="false"/>
                <w:i w:val="false"/>
                <w:caps w:val="false"/>
                <w:smallCaps w:val="false"/>
                <w:sz w:val="20"/>
              </w:rPr>
              <w:t xml:space="preserve"> - Posts per day, active members</w:t>
            </w:r>
          </w:p>
        </w:tc>
      </w:tr>
    </w:tbl>
    <w:tbl>
      <w:tblPr>
        <w:tblW w:w="3348" w:type="dxa"/>
        <w:jc w:val="left"/>
        <w:tblInd w:w="0" w:type="dxa"/>
        <w:tblLayout w:type="fixed"/>
        <w:tblCellMar>
          <w:top w:w="0" w:type="dxa"/>
          <w:left w:w="0" w:type="dxa"/>
          <w:bottom w:w="0" w:type="dxa"/>
          <w:right w:w="0" w:type="dxa"/>
        </w:tblCellMar>
      </w:tblPr>
      <w:tblGrid>
        <w:gridCol w:w="38"/>
        <w:gridCol w:w="17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Quality</w:t>
            </w:r>
            <w:r>
              <w:rPr>
                <w:rFonts w:ascii="Times New Roman;Times;Serif" w:hAnsi="Times New Roman;Times;Serif"/>
                <w:b w:val="false"/>
                <w:i w:val="false"/>
                <w:caps w:val="false"/>
                <w:smallCaps w:val="false"/>
                <w:sz w:val="20"/>
              </w:rPr>
              <w:t xml:space="preserve"> - Low spam, good moderation</w:t>
            </w:r>
          </w:p>
        </w:tc>
      </w:tr>
    </w:tbl>
    <w:tbl>
      <w:tblPr>
        <w:tblW w:w="4293" w:type="dxa"/>
        <w:jc w:val="left"/>
        <w:tblInd w:w="0" w:type="dxa"/>
        <w:tblLayout w:type="fixed"/>
        <w:tblCellMar>
          <w:top w:w="0" w:type="dxa"/>
          <w:left w:w="0" w:type="dxa"/>
          <w:bottom w:w="0" w:type="dxa"/>
          <w:right w:w="0" w:type="dxa"/>
        </w:tblCellMar>
      </w:tblPr>
      <w:tblGrid>
        <w:gridCol w:w="38"/>
        <w:gridCol w:w="170"/>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Growth</w:t>
            </w:r>
            <w:r>
              <w:rPr>
                <w:rFonts w:ascii="Times New Roman;Times;Serif" w:hAnsi="Times New Roman;Times;Serif"/>
                <w:b w:val="false"/>
                <w:i w:val="false"/>
                <w:caps w:val="false"/>
                <w:smallCaps w:val="false"/>
                <w:sz w:val="20"/>
              </w:rPr>
              <w:t xml:space="preserve"> - Increasing membership and engagement</w:t>
            </w:r>
          </w:p>
        </w:tc>
      </w:tr>
    </w:tbl>
    <w:tbl>
      <w:tblPr>
        <w:tblW w:w="4683" w:type="dxa"/>
        <w:jc w:val="left"/>
        <w:tblInd w:w="0" w:type="dxa"/>
        <w:tblLayout w:type="fixed"/>
        <w:tblCellMar>
          <w:top w:w="0" w:type="dxa"/>
          <w:left w:w="0" w:type="dxa"/>
          <w:bottom w:w="0" w:type="dxa"/>
          <w:right w:w="0" w:type="dxa"/>
        </w:tblCellMar>
      </w:tblPr>
      <w:tblGrid>
        <w:gridCol w:w="38"/>
        <w:gridCol w:w="17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4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Network Effect</w:t>
            </w:r>
            <w:r>
              <w:rPr>
                <w:rFonts w:ascii="Times New Roman;Times;Serif" w:hAnsi="Times New Roman;Times;Serif"/>
                <w:b w:val="false"/>
                <w:i w:val="false"/>
                <w:caps w:val="false"/>
                <w:smallCaps w:val="false"/>
                <w:sz w:val="20"/>
              </w:rPr>
              <w:t xml:space="preserve"> - How many user’s friends are members</w:t>
            </w:r>
          </w:p>
        </w:tc>
      </w:tr>
    </w:tbl>
    <w:p>
      <w:pPr>
        <w:pStyle w:val="TextBody"/>
        <w:bidi w:val="0"/>
        <w:spacing w:before="0" w:after="0"/>
        <w:ind w:left="2158"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90"/>
        <w:gridCol w:w="22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22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Content Organization</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Streams in Each Hub</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17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Hot</w:t>
            </w:r>
            <w:r>
              <w:rPr>
                <w:rFonts w:ascii="Times New Roman;Times;Serif" w:hAnsi="Times New Roman;Times;Serif"/>
                <w:b w:val="false"/>
                <w:i w:val="false"/>
                <w:caps w:val="false"/>
                <w:smallCaps w:val="false"/>
                <w:sz w:val="20"/>
              </w:rPr>
              <w:t xml:space="preserve"> - Currently most engaged content (last 24 hours)</w:t>
            </w:r>
          </w:p>
        </w:tc>
      </w:tr>
    </w:tbl>
    <w:tbl>
      <w:tblPr>
        <w:tblW w:w="3018" w:type="dxa"/>
        <w:jc w:val="left"/>
        <w:tblInd w:w="0" w:type="dxa"/>
        <w:tblLayout w:type="fixed"/>
        <w:tblCellMar>
          <w:top w:w="0" w:type="dxa"/>
          <w:left w:w="0" w:type="dxa"/>
          <w:bottom w:w="0" w:type="dxa"/>
          <w:right w:w="0" w:type="dxa"/>
        </w:tblCellMar>
      </w:tblPr>
      <w:tblGrid>
        <w:gridCol w:w="38"/>
        <w:gridCol w:w="170"/>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w:t>
            </w:r>
            <w:r>
              <w:rPr>
                <w:rFonts w:ascii="Times New Roman;Times;Serif" w:hAnsi="Times New Roman;Times;Serif"/>
                <w:b w:val="false"/>
                <w:i w:val="false"/>
                <w:caps w:val="false"/>
                <w:smallCaps w:val="false"/>
                <w:sz w:val="20"/>
              </w:rPr>
              <w:t xml:space="preserve"> - Latest posts (chronological)</w:t>
            </w:r>
          </w:p>
        </w:tc>
      </w:tr>
    </w:tbl>
    <w:tbl>
      <w:tblPr>
        <w:tblW w:w="5268" w:type="dxa"/>
        <w:jc w:val="left"/>
        <w:tblInd w:w="0" w:type="dxa"/>
        <w:tblLayout w:type="fixed"/>
        <w:tblCellMar>
          <w:top w:w="0" w:type="dxa"/>
          <w:left w:w="0" w:type="dxa"/>
          <w:bottom w:w="0" w:type="dxa"/>
          <w:right w:w="0" w:type="dxa"/>
        </w:tblCellMar>
      </w:tblPr>
      <w:tblGrid>
        <w:gridCol w:w="38"/>
        <w:gridCol w:w="17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Top</w:t>
            </w:r>
            <w:r>
              <w:rPr>
                <w:rFonts w:ascii="Times New Roman;Times;Serif" w:hAnsi="Times New Roman;Times;Serif"/>
                <w:b w:val="false"/>
                <w:i w:val="false"/>
                <w:caps w:val="false"/>
                <w:smallCaps w:val="false"/>
                <w:sz w:val="20"/>
              </w:rPr>
              <w:t xml:space="preserve"> - Best content (by time period: day/week/month/all-time)</w:t>
            </w:r>
          </w:p>
        </w:tc>
      </w:tr>
    </w:tbl>
    <w:tbl>
      <w:tblPr>
        <w:tblW w:w="4053" w:type="dxa"/>
        <w:jc w:val="left"/>
        <w:tblInd w:w="0" w:type="dxa"/>
        <w:tblLayout w:type="fixed"/>
        <w:tblCellMar>
          <w:top w:w="0" w:type="dxa"/>
          <w:left w:w="0" w:type="dxa"/>
          <w:bottom w:w="0" w:type="dxa"/>
          <w:right w:w="0" w:type="dxa"/>
        </w:tblCellMar>
      </w:tblPr>
      <w:tblGrid>
        <w:gridCol w:w="38"/>
        <w:gridCol w:w="17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Pinned</w:t>
            </w:r>
            <w:r>
              <w:rPr>
                <w:rFonts w:ascii="Times New Roman;Times;Serif" w:hAnsi="Times New Roman;Times;Serif"/>
                <w:b w:val="false"/>
                <w:i w:val="false"/>
                <w:caps w:val="false"/>
                <w:smallCaps w:val="false"/>
                <w:sz w:val="20"/>
              </w:rPr>
              <w:t xml:space="preserve"> - Important posts pinned by moderators</w:t>
            </w:r>
          </w:p>
        </w:tc>
      </w:tr>
    </w:tbl>
    <w:p>
      <w:pPr>
        <w:pStyle w:val="TextBody"/>
        <w:bidi w:val="0"/>
        <w:spacing w:before="0" w:after="0"/>
        <w:ind w:left="215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Hub-Specific Features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Match threads (auto-created for relevant matches)</w:t>
            </w:r>
          </w:p>
        </w:tc>
      </w:tr>
    </w:tbl>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Recurring discussion threads (e.g., “Monday Motivation”)</w:t>
            </w:r>
          </w:p>
        </w:tc>
      </w:tr>
    </w:tbl>
    <w:tbl>
      <w:tblPr>
        <w:tblW w:w="3033" w:type="dxa"/>
        <w:jc w:val="left"/>
        <w:tblInd w:w="0" w:type="dxa"/>
        <w:tblLayout w:type="fixed"/>
        <w:tblCellMar>
          <w:top w:w="0" w:type="dxa"/>
          <w:left w:w="0" w:type="dxa"/>
          <w:bottom w:w="0" w:type="dxa"/>
          <w:right w:w="0" w:type="dxa"/>
        </w:tblCellMar>
      </w:tblPr>
      <w:tblGrid>
        <w:gridCol w:w="38"/>
        <w:gridCol w:w="17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Hub-specific polls and predictions</w:t>
            </w:r>
          </w:p>
        </w:tc>
      </w:tr>
    </w:tbl>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rankings/leaderboards</w:t>
            </w:r>
          </w:p>
        </w:tc>
      </w:tr>
    </w:tbl>
    <w:tbl>
      <w:tblPr>
        <w:tblW w:w="2703" w:type="dxa"/>
        <w:jc w:val="left"/>
        <w:tblInd w:w="0" w:type="dxa"/>
        <w:tblLayout w:type="fixed"/>
        <w:tblCellMar>
          <w:top w:w="0" w:type="dxa"/>
          <w:left w:w="0" w:type="dxa"/>
          <w:bottom w:w="0" w:type="dxa"/>
          <w:right w:w="0" w:type="dxa"/>
        </w:tblCellMar>
      </w:tblPr>
      <w:tblGrid>
        <w:gridCol w:w="38"/>
        <w:gridCol w:w="170"/>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achievements and badges</w:t>
            </w:r>
          </w:p>
        </w:tc>
      </w:tr>
    </w:tbl>
    <w:p>
      <w:pPr>
        <w:pStyle w:val="TextBody"/>
        <w:bidi w:val="0"/>
        <w:spacing w:before="0" w:after="0"/>
        <w:ind w:left="2159" w:right="0" w:hanging="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290"/>
        <w:gridCol w:w="28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28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Membership &amp; Participation</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Joining Rules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38"/>
        <w:gridCol w:w="17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Public Hubs</w:t>
            </w:r>
            <w:r>
              <w:rPr>
                <w:rFonts w:ascii="Times New Roman;Times;Serif" w:hAnsi="Times New Roman;Times;Serif"/>
                <w:b w:val="false"/>
                <w:i w:val="false"/>
                <w:caps w:val="false"/>
                <w:smallCaps w:val="false"/>
                <w:sz w:val="20"/>
              </w:rPr>
              <w:t>: Instant join</w:t>
            </w:r>
          </w:p>
        </w:tc>
      </w:tr>
    </w:tbl>
    <w:tbl>
      <w:tblPr>
        <w:tblW w:w="2868" w:type="dxa"/>
        <w:jc w:val="left"/>
        <w:tblInd w:w="0" w:type="dxa"/>
        <w:tblLayout w:type="fixed"/>
        <w:tblCellMar>
          <w:top w:w="0" w:type="dxa"/>
          <w:left w:w="0" w:type="dxa"/>
          <w:bottom w:w="0" w:type="dxa"/>
          <w:right w:w="0" w:type="dxa"/>
        </w:tblCellMar>
      </w:tblPr>
      <w:tblGrid>
        <w:gridCol w:w="38"/>
        <w:gridCol w:w="17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Private Hubs</w:t>
            </w:r>
            <w:r>
              <w:rPr>
                <w:rFonts w:ascii="Times New Roman;Times;Serif" w:hAnsi="Times New Roman;Times;Serif"/>
                <w:b w:val="false"/>
                <w:i w:val="false"/>
                <w:caps w:val="false"/>
                <w:smallCaps w:val="false"/>
                <w:sz w:val="20"/>
              </w:rPr>
              <w:t>: Require approval</w:t>
            </w:r>
          </w:p>
        </w:tc>
      </w:tr>
    </w:tbl>
    <w:tbl>
      <w:tblPr>
        <w:tblW w:w="3318" w:type="dxa"/>
        <w:jc w:val="left"/>
        <w:tblInd w:w="0" w:type="dxa"/>
        <w:tblLayout w:type="fixed"/>
        <w:tblCellMar>
          <w:top w:w="0" w:type="dxa"/>
          <w:left w:w="0" w:type="dxa"/>
          <w:bottom w:w="0" w:type="dxa"/>
          <w:right w:w="0" w:type="dxa"/>
        </w:tblCellMar>
      </w:tblPr>
      <w:tblGrid>
        <w:gridCol w:w="38"/>
        <w:gridCol w:w="17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Premium Hubs</w:t>
            </w:r>
            <w:r>
              <w:rPr>
                <w:rFonts w:ascii="Times New Roman;Times;Serif" w:hAnsi="Times New Roman;Times;Serif"/>
                <w:b w:val="false"/>
                <w:i w:val="false"/>
                <w:caps w:val="false"/>
                <w:smallCaps w:val="false"/>
                <w:sz w:val="20"/>
              </w:rPr>
              <w:t>: Require subscription</w:t>
            </w:r>
          </w:p>
        </w:tc>
      </w:tr>
    </w:tbl>
    <w:p>
      <w:pPr>
        <w:pStyle w:val="TextBody"/>
        <w:bidi w:val="0"/>
        <w:spacing w:before="0" w:after="0"/>
        <w:ind w:left="215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159" w:right="0" w:hanging="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 Privileges by Reputation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4218" w:type="dxa"/>
        <w:jc w:val="left"/>
        <w:tblInd w:w="0" w:type="dxa"/>
        <w:tblLayout w:type="fixed"/>
        <w:tblCellMar>
          <w:top w:w="0" w:type="dxa"/>
          <w:left w:w="0" w:type="dxa"/>
          <w:bottom w:w="0" w:type="dxa"/>
          <w:right w:w="0" w:type="dxa"/>
        </w:tblCellMar>
      </w:tblPr>
      <w:tblGrid>
        <w:gridCol w:w="38"/>
        <w:gridCol w:w="17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Members</w:t>
            </w:r>
            <w:r>
              <w:rPr>
                <w:rFonts w:ascii="Times New Roman;Times;Serif" w:hAnsi="Times New Roman;Times;Serif"/>
                <w:b w:val="false"/>
                <w:i w:val="false"/>
                <w:caps w:val="false"/>
                <w:smallCaps w:val="false"/>
                <w:sz w:val="20"/>
              </w:rPr>
              <w:t xml:space="preserve"> (0-100 points): Can view and like</w:t>
            </w:r>
          </w:p>
        </w:tc>
      </w:tr>
    </w:tbl>
    <w:tbl>
      <w:tblPr>
        <w:tblW w:w="5238" w:type="dxa"/>
        <w:jc w:val="left"/>
        <w:tblInd w:w="0" w:type="dxa"/>
        <w:tblLayout w:type="fixed"/>
        <w:tblCellMar>
          <w:top w:w="0" w:type="dxa"/>
          <w:left w:w="0" w:type="dxa"/>
          <w:bottom w:w="0" w:type="dxa"/>
          <w:right w:w="0" w:type="dxa"/>
        </w:tblCellMar>
      </w:tblPr>
      <w:tblGrid>
        <w:gridCol w:w="38"/>
        <w:gridCol w:w="17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Active Members</w:t>
            </w:r>
            <w:r>
              <w:rPr>
                <w:rFonts w:ascii="Times New Roman;Times;Serif" w:hAnsi="Times New Roman;Times;Serif"/>
                <w:b w:val="false"/>
                <w:i w:val="false"/>
                <w:caps w:val="false"/>
                <w:smallCaps w:val="false"/>
                <w:sz w:val="20"/>
              </w:rPr>
              <w:t xml:space="preserve"> (100-500 points): Can post with moderation</w:t>
            </w:r>
          </w:p>
        </w:tc>
      </w:tr>
    </w:tbl>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Trusted Members</w:t>
            </w:r>
            <w:r>
              <w:rPr>
                <w:rFonts w:ascii="Times New Roman;Times;Serif" w:hAnsi="Times New Roman;Times;Serif"/>
                <w:b w:val="false"/>
                <w:i w:val="false"/>
                <w:caps w:val="false"/>
                <w:smallCaps w:val="false"/>
                <w:sz w:val="20"/>
              </w:rPr>
              <w:t xml:space="preserve"> (500+ points): Can post without pre-moderation</w:t>
            </w:r>
          </w:p>
        </w:tc>
      </w:tr>
    </w:tbl>
    <w:tbl>
      <w:tblPr>
        <w:tblW w:w="4683" w:type="dxa"/>
        <w:jc w:val="left"/>
        <w:tblInd w:w="0" w:type="dxa"/>
        <w:tblLayout w:type="fixed"/>
        <w:tblCellMar>
          <w:top w:w="0" w:type="dxa"/>
          <w:left w:w="0" w:type="dxa"/>
          <w:bottom w:w="0" w:type="dxa"/>
          <w:right w:w="0" w:type="dxa"/>
        </w:tblCellMar>
      </w:tblPr>
      <w:tblGrid>
        <w:gridCol w:w="38"/>
        <w:gridCol w:w="17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VIP Members</w:t>
            </w:r>
            <w:r>
              <w:rPr>
                <w:rFonts w:ascii="Times New Roman;Times;Serif" w:hAnsi="Times New Roman;Times;Serif"/>
                <w:b w:val="false"/>
                <w:i w:val="false"/>
                <w:caps w:val="false"/>
                <w:smallCaps w:val="false"/>
                <w:sz w:val="20"/>
              </w:rPr>
              <w:t xml:space="preserve"> (1000+ points): Can create events, polls</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Reputation Points in Hubs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38"/>
        <w:gridCol w:w="170"/>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 gets 10+ likes: +5 points</w:t>
            </w:r>
          </w:p>
        </w:tc>
      </w:tr>
    </w:tbl>
    <w:tbl>
      <w:tblPr>
        <w:tblW w:w="2523" w:type="dxa"/>
        <w:jc w:val="left"/>
        <w:tblInd w:w="0" w:type="dxa"/>
        <w:tblLayout w:type="fixed"/>
        <w:tblCellMar>
          <w:top w:w="0" w:type="dxa"/>
          <w:left w:w="0" w:type="dxa"/>
          <w:bottom w:w="0" w:type="dxa"/>
          <w:right w:w="0" w:type="dxa"/>
        </w:tblCellMar>
      </w:tblPr>
      <w:tblGrid>
        <w:gridCol w:w="38"/>
        <w:gridCol w:w="170"/>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comment: +2 points</w:t>
            </w:r>
          </w:p>
        </w:tc>
      </w:tr>
    </w:tbl>
    <w:tbl>
      <w:tblPr>
        <w:tblW w:w="2658" w:type="dxa"/>
        <w:jc w:val="left"/>
        <w:tblInd w:w="0" w:type="dxa"/>
        <w:tblLayout w:type="fixed"/>
        <w:tblCellMar>
          <w:top w:w="0" w:type="dxa"/>
          <w:left w:w="0" w:type="dxa"/>
          <w:bottom w:w="0" w:type="dxa"/>
          <w:right w:w="0" w:type="dxa"/>
        </w:tblCellMar>
      </w:tblPr>
      <w:tblGrid>
        <w:gridCol w:w="38"/>
        <w:gridCol w:w="17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Reported for spam: -10 points</w:t>
            </w:r>
          </w:p>
        </w:tc>
      </w:tr>
    </w:tbl>
    <w:tbl>
      <w:tblPr>
        <w:tblW w:w="2268" w:type="dxa"/>
        <w:jc w:val="left"/>
        <w:tblInd w:w="0" w:type="dxa"/>
        <w:tblLayout w:type="fixed"/>
        <w:tblCellMar>
          <w:top w:w="0" w:type="dxa"/>
          <w:left w:w="0" w:type="dxa"/>
          <w:bottom w:w="0" w:type="dxa"/>
          <w:right w:w="0" w:type="dxa"/>
        </w:tblCellMar>
      </w:tblPr>
      <w:tblGrid>
        <w:gridCol w:w="38"/>
        <w:gridCol w:w="17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 removed: -20 points</w:t>
            </w:r>
          </w:p>
        </w:tc>
      </w:tr>
    </w:tbl>
    <w:p>
      <w:pPr>
        <w:pStyle w:val="TextBody"/>
        <w:bidi w:val="0"/>
        <w:spacing w:before="0" w:after="0"/>
        <w:ind w:left="2159" w:right="0" w:hanging="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185"/>
        <w:gridCol w:w="305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30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Social Features &amp; User Interactions</w:t>
            </w:r>
          </w:p>
        </w:tc>
      </w:tr>
    </w:tbl>
    <w:p>
      <w:pPr>
        <w:pStyle w:val="TextBody"/>
        <w:bidi w:val="0"/>
        <w:spacing w:before="0" w:after="0"/>
        <w:ind w:left="1816" w:right="0" w:hanging="0"/>
        <w:jc w:val="righ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290"/>
        <w:gridCol w:w="146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14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Social Discovery</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Suggested Users to Follow” Logic:</w:t>
      </w:r>
    </w:p>
    <w:p>
      <w:pPr>
        <w:pStyle w:val="TextBody"/>
        <w:bidi w:val="0"/>
        <w:spacing w:before="0" w:after="0"/>
        <w:jc w:val="left"/>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170"/>
        <w:gridCol w:w="4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 followed by people you follow (mutual connections)</w:t>
            </w:r>
          </w:p>
        </w:tc>
      </w:tr>
    </w:tbl>
    <w:tbl>
      <w:tblPr>
        <w:tblW w:w="1878" w:type="dxa"/>
        <w:jc w:val="left"/>
        <w:tblInd w:w="0" w:type="dxa"/>
        <w:tblLayout w:type="fixed"/>
        <w:tblCellMar>
          <w:top w:w="0" w:type="dxa"/>
          <w:left w:w="0" w:type="dxa"/>
          <w:bottom w:w="0" w:type="dxa"/>
          <w:right w:w="0" w:type="dxa"/>
        </w:tblCellMar>
      </w:tblPr>
      <w:tblGrid>
        <w:gridCol w:w="38"/>
        <w:gridCol w:w="17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Active in same hubs</w:t>
            </w:r>
          </w:p>
        </w:tc>
      </w:tr>
    </w:tbl>
    <w:tbl>
      <w:tblPr>
        <w:tblW w:w="1848" w:type="dxa"/>
        <w:jc w:val="left"/>
        <w:tblInd w:w="0" w:type="dxa"/>
        <w:tblLayout w:type="fixed"/>
        <w:tblCellMar>
          <w:top w:w="0" w:type="dxa"/>
          <w:left w:w="0" w:type="dxa"/>
          <w:bottom w:w="0" w:type="dxa"/>
          <w:right w:w="0" w:type="dxa"/>
        </w:tblCellMar>
      </w:tblPr>
      <w:tblGrid>
        <w:gridCol w:w="38"/>
        <w:gridCol w:w="17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same teams</w:t>
            </w:r>
          </w:p>
        </w:tc>
      </w:tr>
    </w:tbl>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engagement patterns</w:t>
            </w:r>
          </w:p>
        </w:tc>
      </w:tr>
    </w:tbl>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Geographic proximity (same city)</w:t>
            </w:r>
          </w:p>
        </w:tc>
      </w:tr>
    </w:tbl>
    <w:p>
      <w:pPr>
        <w:pStyle w:val="TextBody"/>
        <w:bidi w:val="0"/>
        <w:spacing w:before="0" w:after="0"/>
        <w:ind w:left="2158"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Weighting:</w:t>
      </w:r>
    </w:p>
    <w:p>
      <w:pPr>
        <w:pStyle w:val="TextBody"/>
        <w:bidi w:val="0"/>
        <w:spacing w:before="0" w:after="0"/>
        <w:jc w:val="left"/>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17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Followed by 3+ users you follow: High priority</w:t>
            </w:r>
          </w:p>
        </w:tc>
      </w:tr>
    </w:tbl>
    <w:tbl>
      <w:tblPr>
        <w:tblW w:w="4668" w:type="dxa"/>
        <w:jc w:val="left"/>
        <w:tblInd w:w="0" w:type="dxa"/>
        <w:tblLayout w:type="fixed"/>
        <w:tblCellMar>
          <w:top w:w="0" w:type="dxa"/>
          <w:left w:w="0" w:type="dxa"/>
          <w:bottom w:w="0" w:type="dxa"/>
          <w:right w:w="0" w:type="dxa"/>
        </w:tblCellMar>
      </w:tblPr>
      <w:tblGrid>
        <w:gridCol w:w="38"/>
        <w:gridCol w:w="17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Same favorite team + active in same hub: High priority</w:t>
            </w:r>
          </w:p>
        </w:tc>
      </w:tr>
    </w:tbl>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geographic proximity: Low priority</w:t>
            </w:r>
          </w:p>
        </w:tc>
      </w:tr>
    </w:tbl>
    <w:p>
      <w:pPr>
        <w:pStyle w:val="TextBody"/>
        <w:bidi w:val="0"/>
        <w:spacing w:before="0" w:after="0"/>
        <w:ind w:left="2159" w:right="0" w:hanging="0"/>
        <w:jc w:val="both"/>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90"/>
        <w:gridCol w:w="180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User Activity Signals</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We Track for Personalization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17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Teams/players followed</w:t>
            </w:r>
          </w:p>
        </w:tc>
      </w:tr>
    </w:tbl>
    <w:tbl>
      <w:tblPr>
        <w:tblW w:w="1953" w:type="dxa"/>
        <w:jc w:val="left"/>
        <w:tblInd w:w="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liked/shared</w:t>
            </w:r>
          </w:p>
        </w:tc>
      </w:tr>
    </w:tbl>
    <w:tbl>
      <w:tblPr>
        <w:tblW w:w="3723" w:type="dxa"/>
        <w:jc w:val="left"/>
        <w:tblInd w:w="0" w:type="dxa"/>
        <w:tblLayout w:type="fixed"/>
        <w:tblCellMar>
          <w:top w:w="0" w:type="dxa"/>
          <w:left w:w="0" w:type="dxa"/>
          <w:bottom w:w="0" w:type="dxa"/>
          <w:right w:w="0" w:type="dxa"/>
        </w:tblCellMar>
      </w:tblPr>
      <w:tblGrid>
        <w:gridCol w:w="38"/>
        <w:gridCol w:w="170"/>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spent viewing different content types</w:t>
            </w:r>
          </w:p>
        </w:tc>
      </w:tr>
    </w:tbl>
    <w:tbl>
      <w:tblPr>
        <w:tblW w:w="2988" w:type="dxa"/>
        <w:jc w:val="left"/>
        <w:tblInd w:w="0" w:type="dxa"/>
        <w:tblLayout w:type="fixed"/>
        <w:tblCellMar>
          <w:top w:w="0" w:type="dxa"/>
          <w:left w:w="0" w:type="dxa"/>
          <w:bottom w:w="0" w:type="dxa"/>
          <w:right w:w="0" w:type="dxa"/>
        </w:tblCellMar>
      </w:tblPr>
      <w:tblGrid>
        <w:gridCol w:w="38"/>
        <w:gridCol w:w="17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Active hours (when user uses app)</w:t>
            </w:r>
          </w:p>
        </w:tc>
      </w:tr>
    </w:tbl>
    <w:tbl>
      <w:tblPr>
        <w:tblW w:w="1683" w:type="dxa"/>
        <w:jc w:val="left"/>
        <w:tblInd w:w="0" w:type="dxa"/>
        <w:tblLayout w:type="fixed"/>
        <w:tblCellMar>
          <w:top w:w="0" w:type="dxa"/>
          <w:left w:w="0" w:type="dxa"/>
          <w:bottom w:w="0" w:type="dxa"/>
          <w:right w:w="0" w:type="dxa"/>
        </w:tblCellMar>
      </w:tblPr>
      <w:tblGrid>
        <w:gridCol w:w="38"/>
        <w:gridCol w:w="17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participation</w:t>
            </w:r>
          </w:p>
        </w:tc>
      </w:tr>
    </w:tbl>
    <w:tbl>
      <w:tblPr>
        <w:tblW w:w="2538" w:type="dxa"/>
        <w:jc w:val="left"/>
        <w:tblInd w:w="0" w:type="dxa"/>
        <w:tblLayout w:type="fixed"/>
        <w:tblCellMar>
          <w:top w:w="0" w:type="dxa"/>
          <w:left w:w="0" w:type="dxa"/>
          <w:bottom w:w="0" w:type="dxa"/>
          <w:right w:w="0" w:type="dxa"/>
        </w:tblCellMar>
      </w:tblPr>
      <w:tblGrid>
        <w:gridCol w:w="38"/>
        <w:gridCol w:w="17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Friends interacted with most</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Rules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can opt out of personalization</w:t>
            </w:r>
          </w:p>
        </w:tc>
      </w:tr>
    </w:tbl>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can clear their interest history</w:t>
            </w:r>
          </w:p>
        </w:tc>
      </w:tr>
    </w:tbl>
    <w:tbl>
      <w:tblPr>
        <w:tblW w:w="2613" w:type="dxa"/>
        <w:jc w:val="left"/>
        <w:tblInd w:w="0" w:type="dxa"/>
        <w:tblLayout w:type="fixed"/>
        <w:tblCellMar>
          <w:top w:w="0" w:type="dxa"/>
          <w:left w:w="0" w:type="dxa"/>
          <w:bottom w:w="0" w:type="dxa"/>
          <w:right w:w="0" w:type="dxa"/>
        </w:tblCellMar>
      </w:tblPr>
      <w:tblGrid>
        <w:gridCol w:w="38"/>
        <w:gridCol w:w="17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can make profile private</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360" w:right="0" w:hanging="360"/>
        <w:jc w:val="righ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90"/>
        <w:gridCol w:w="216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c>
          <w:tcPr>
            <w:tcW w:w="21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Promotion Rules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to Boost Content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17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post from user in a week (welcome back boost)</w:t>
            </w:r>
          </w:p>
        </w:tc>
      </w:tr>
    </w:tbl>
    <w:tbl>
      <w:tblPr>
        <w:tblW w:w="4218" w:type="dxa"/>
        <w:jc w:val="left"/>
        <w:tblInd w:w="0" w:type="dxa"/>
        <w:tblLayout w:type="fixed"/>
        <w:tblCellMar>
          <w:top w:w="0" w:type="dxa"/>
          <w:left w:w="0" w:type="dxa"/>
          <w:bottom w:w="0" w:type="dxa"/>
          <w:right w:w="0" w:type="dxa"/>
        </w:tblCellMar>
      </w:tblPr>
      <w:tblGrid>
        <w:gridCol w:w="38"/>
        <w:gridCol w:w="17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achievement (user reached new level)</w:t>
            </w:r>
          </w:p>
        </w:tc>
      </w:tr>
    </w:tbl>
    <w:tbl>
      <w:tblPr>
        <w:tblW w:w="5028" w:type="dxa"/>
        <w:jc w:val="left"/>
        <w:tblInd w:w="0" w:type="dxa"/>
        <w:tblLayout w:type="fixed"/>
        <w:tblCellMar>
          <w:top w:w="0" w:type="dxa"/>
          <w:left w:w="0" w:type="dxa"/>
          <w:bottom w:w="0" w:type="dxa"/>
          <w:right w:w="0" w:type="dxa"/>
        </w:tblCellMar>
      </w:tblPr>
      <w:tblGrid>
        <w:gridCol w:w="38"/>
        <w:gridCol w:w="170"/>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High-quality content from new user (encouragement boost)</w:t>
            </w:r>
          </w:p>
        </w:tc>
      </w:tr>
    </w:tbl>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community announcements</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Elite/Verified User Benefits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gets 1.5x visibility boost</w:t>
            </w:r>
          </w:p>
        </w:tc>
      </w:tr>
    </w:tbl>
    <w:tbl>
      <w:tblPr>
        <w:tblW w:w="2808" w:type="dxa"/>
        <w:jc w:val="left"/>
        <w:tblInd w:w="0" w:type="dxa"/>
        <w:tblLayout w:type="fixed"/>
        <w:tblCellMar>
          <w:top w:w="0" w:type="dxa"/>
          <w:left w:w="0" w:type="dxa"/>
          <w:bottom w:w="0" w:type="dxa"/>
          <w:right w:w="0" w:type="dxa"/>
        </w:tblCellMar>
      </w:tblPr>
      <w:tblGrid>
        <w:gridCol w:w="38"/>
        <w:gridCol w:w="17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Appears higher in search results</w:t>
            </w:r>
          </w:p>
        </w:tc>
      </w:tr>
    </w:tbl>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 post longer videos</w:t>
            </w:r>
          </w:p>
        </w:tc>
      </w:tr>
    </w:tbl>
    <w:tbl>
      <w:tblPr>
        <w:tblW w:w="2508" w:type="dxa"/>
        <w:jc w:val="left"/>
        <w:tblInd w:w="0" w:type="dxa"/>
        <w:tblLayout w:type="fixed"/>
        <w:tblCellMar>
          <w:top w:w="0" w:type="dxa"/>
          <w:left w:w="0" w:type="dxa"/>
          <w:bottom w:w="0" w:type="dxa"/>
          <w:right w:w="0" w:type="dxa"/>
        </w:tblCellMar>
      </w:tblPr>
      <w:tblGrid>
        <w:gridCol w:w="38"/>
        <w:gridCol w:w="17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exclusive features</w:t>
            </w:r>
          </w:p>
        </w:tc>
      </w:tr>
    </w:tbl>
    <w:p>
      <w:pPr>
        <w:pStyle w:val="TextBody"/>
        <w:bidi w:val="0"/>
        <w:spacing w:before="0" w:after="0"/>
        <w:ind w:left="2159"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185"/>
        <w:gridCol w:w="264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6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Moderation &amp; Quality</w:t>
            </w:r>
          </w:p>
        </w:tc>
      </w:tr>
    </w:tbl>
    <w:p>
      <w:pPr>
        <w:pStyle w:val="TextBody"/>
        <w:bidi w:val="0"/>
        <w:spacing w:before="0" w:after="0"/>
        <w:ind w:left="1816" w:right="0" w:hanging="0"/>
        <w:jc w:val="righ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290"/>
        <w:gridCol w:w="20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c>
          <w:tcPr>
            <w:tcW w:w="2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Auto-Moderation Rules</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Immediate Flags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Duplicate posts (same user, same content within 24 hours)</w:t>
            </w:r>
          </w:p>
        </w:tc>
      </w:tr>
    </w:tbl>
    <w:tbl>
      <w:tblPr>
        <w:tblW w:w="2928" w:type="dxa"/>
        <w:jc w:val="left"/>
        <w:tblInd w:w="0" w:type="dxa"/>
        <w:tblLayout w:type="fixed"/>
        <w:tblCellMar>
          <w:top w:w="0" w:type="dxa"/>
          <w:left w:w="0" w:type="dxa"/>
          <w:bottom w:w="0" w:type="dxa"/>
          <w:right w:w="0" w:type="dxa"/>
        </w:tblCellMar>
      </w:tblPr>
      <w:tblGrid>
        <w:gridCol w:w="38"/>
        <w:gridCol w:w="17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Excessive hashtags (more than 5)</w:t>
            </w:r>
          </w:p>
        </w:tc>
      </w:tr>
    </w:tbl>
    <w:tbl>
      <w:tblPr>
        <w:tblW w:w="1818" w:type="dxa"/>
        <w:jc w:val="left"/>
        <w:tblInd w:w="0" w:type="dxa"/>
        <w:tblLayout w:type="fixed"/>
        <w:tblCellMar>
          <w:top w:w="0" w:type="dxa"/>
          <w:left w:w="0" w:type="dxa"/>
          <w:bottom w:w="0" w:type="dxa"/>
          <w:right w:w="0" w:type="dxa"/>
        </w:tblCellMar>
      </w:tblPr>
      <w:tblGrid>
        <w:gridCol w:w="38"/>
        <w:gridCol w:w="17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Spam keywords list</w:t>
            </w:r>
          </w:p>
        </w:tc>
      </w:tr>
    </w:tbl>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Excessive capital letters (more than 50%)</w:t>
            </w:r>
          </w:p>
        </w:tc>
      </w:tr>
    </w:tbl>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Too many mentions (more than 5 @mentions)</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Quality Thresholds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17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10 characters for posts</w:t>
            </w:r>
          </w:p>
        </w:tc>
      </w:tr>
    </w:tbl>
    <w:tbl>
      <w:tblPr>
        <w:tblW w:w="2958" w:type="dxa"/>
        <w:jc w:val="left"/>
        <w:tblInd w:w="0" w:type="dxa"/>
        <w:tblLayout w:type="fixed"/>
        <w:tblCellMar>
          <w:top w:w="0" w:type="dxa"/>
          <w:left w:w="0" w:type="dxa"/>
          <w:bottom w:w="0" w:type="dxa"/>
          <w:right w:w="0" w:type="dxa"/>
        </w:tblCellMar>
      </w:tblPr>
      <w:tblGrid>
        <w:gridCol w:w="38"/>
        <w:gridCol w:w="17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Images must be &gt; 200x200 pixels</w:t>
            </w:r>
          </w:p>
        </w:tc>
      </w:tr>
    </w:tbl>
    <w:tbl>
      <w:tblPr>
        <w:tblW w:w="4188" w:type="dxa"/>
        <w:jc w:val="left"/>
        <w:tblInd w:w="0" w:type="dxa"/>
        <w:tblLayout w:type="fixed"/>
        <w:tblCellMar>
          <w:top w:w="0" w:type="dxa"/>
          <w:left w:w="0" w:type="dxa"/>
          <w:bottom w:w="0" w:type="dxa"/>
          <w:right w:w="0" w:type="dxa"/>
        </w:tblCellMar>
      </w:tblPr>
      <w:tblGrid>
        <w:gridCol w:w="38"/>
        <w:gridCol w:w="17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Videos must be &lt; 3 minutes (non-premium users)</w:t>
            </w:r>
          </w:p>
        </w:tc>
      </w:tr>
    </w:tbl>
    <w:p>
      <w:pPr>
        <w:pStyle w:val="TextBody"/>
        <w:bidi w:val="0"/>
        <w:spacing w:before="0" w:after="0"/>
        <w:ind w:left="2159" w:right="0" w:hanging="0"/>
        <w:jc w:val="both"/>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290"/>
        <w:gridCol w:w="209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c>
          <w:tcPr>
            <w:tcW w:w="20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Community Moderation</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User Reporting</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17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reports = automatic review</w:t>
            </w:r>
          </w:p>
        </w:tc>
      </w:tr>
    </w:tbl>
    <w:tbl>
      <w:tblPr>
        <w:tblW w:w="3393" w:type="dxa"/>
        <w:jc w:val="left"/>
        <w:tblInd w:w="0" w:type="dxa"/>
        <w:tblLayout w:type="fixed"/>
        <w:tblCellMar>
          <w:top w:w="0" w:type="dxa"/>
          <w:left w:w="0" w:type="dxa"/>
          <w:bottom w:w="0" w:type="dxa"/>
          <w:right w:w="0" w:type="dxa"/>
        </w:tblCellMar>
      </w:tblPr>
      <w:tblGrid>
        <w:gridCol w:w="38"/>
        <w:gridCol w:w="17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reports = temporary hide until review</w:t>
            </w:r>
          </w:p>
        </w:tc>
      </w:tr>
    </w:tbl>
    <w:tbl>
      <w:tblPr>
        <w:tblW w:w="3168" w:type="dxa"/>
        <w:jc w:val="left"/>
        <w:tblInd w:w="0" w:type="dxa"/>
        <w:tblLayout w:type="fixed"/>
        <w:tblCellMar>
          <w:top w:w="0" w:type="dxa"/>
          <w:left w:w="0" w:type="dxa"/>
          <w:bottom w:w="0" w:type="dxa"/>
          <w:right w:w="0" w:type="dxa"/>
        </w:tblCellMar>
      </w:tblPr>
      <w:tblGrid>
        <w:gridCol w:w="38"/>
        <w:gridCol w:w="17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False reports = reporter gets warning</w:t>
            </w:r>
          </w:p>
        </w:tc>
      </w:tr>
    </w:tbl>
    <w:p>
      <w:pPr>
        <w:pStyle w:val="TextBody"/>
        <w:bidi w:val="0"/>
        <w:spacing w:before="0" w:after="0"/>
        <w:ind w:left="215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159" w:right="0" w:hanging="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Moderation Actions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17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Warning (first offense)</w:t>
            </w:r>
          </w:p>
        </w:tc>
      </w:tr>
    </w:tbl>
    <w:tbl>
      <w:tblPr>
        <w:tblW w:w="1338" w:type="dxa"/>
        <w:jc w:val="left"/>
        <w:tblInd w:w="0" w:type="dxa"/>
        <w:tblLayout w:type="fixed"/>
        <w:tblCellMar>
          <w:top w:w="0" w:type="dxa"/>
          <w:left w:w="0" w:type="dxa"/>
          <w:bottom w:w="0" w:type="dxa"/>
          <w:right w:w="0" w:type="dxa"/>
        </w:tblCellMar>
      </w:tblPr>
      <w:tblGrid>
        <w:gridCol w:w="38"/>
        <w:gridCol w:w="17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24-hour mute</w:t>
            </w:r>
          </w:p>
        </w:tc>
      </w:tr>
    </w:tbl>
    <w:tbl>
      <w:tblPr>
        <w:tblW w:w="1053" w:type="dxa"/>
        <w:jc w:val="left"/>
        <w:tblInd w:w="0" w:type="dxa"/>
        <w:tblLayout w:type="fixed"/>
        <w:tblCellMar>
          <w:top w:w="0" w:type="dxa"/>
          <w:left w:w="0" w:type="dxa"/>
          <w:bottom w:w="0" w:type="dxa"/>
          <w:right w:w="0" w:type="dxa"/>
        </w:tblCellMar>
      </w:tblPr>
      <w:tblGrid>
        <w:gridCol w:w="38"/>
        <w:gridCol w:w="170"/>
        <w:gridCol w:w="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7-day ban</w:t>
            </w:r>
          </w:p>
        </w:tc>
      </w:tr>
    </w:tbl>
    <w:tbl>
      <w:tblPr>
        <w:tblW w:w="1443" w:type="dxa"/>
        <w:jc w:val="left"/>
        <w:tblInd w:w="0" w:type="dxa"/>
        <w:tblLayout w:type="fixed"/>
        <w:tblCellMar>
          <w:top w:w="0" w:type="dxa"/>
          <w:left w:w="0" w:type="dxa"/>
          <w:bottom w:w="0" w:type="dxa"/>
          <w:right w:w="0" w:type="dxa"/>
        </w:tblCellMar>
      </w:tblPr>
      <w:tblGrid>
        <w:gridCol w:w="38"/>
        <w:gridCol w:w="170"/>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Permanent ban</w:t>
            </w:r>
          </w:p>
        </w:tc>
      </w:tr>
    </w:tbl>
    <w:p>
      <w:pPr>
        <w:pStyle w:val="TextBody"/>
        <w:bidi w:val="0"/>
        <w:spacing w:before="0" w:after="0"/>
        <w:ind w:left="2158" w:right="0" w:hanging="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185"/>
        <w:gridCol w:w="15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5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Logic</w:t>
            </w:r>
          </w:p>
        </w:tc>
      </w:tr>
    </w:tbl>
    <w:p>
      <w:pPr>
        <w:pStyle w:val="TextBody"/>
        <w:bidi w:val="0"/>
        <w:spacing w:before="0" w:after="0"/>
        <w:ind w:left="1816" w:right="0" w:hanging="0"/>
        <w:jc w:val="righ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90"/>
        <w:gridCol w:w="22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22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Push Notification Triggers</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High Priority</w:t>
      </w:r>
      <w:r>
        <w:rPr>
          <w:rFonts w:ascii="Times New Roman;Times;Serif" w:hAnsi="Times New Roman;Times;Serif"/>
          <w:b w:val="false"/>
          <w:i w:val="false"/>
          <w:caps w:val="false"/>
          <w:smallCaps w:val="false"/>
          <w:sz w:val="20"/>
        </w:rPr>
        <w:t xml:space="preserve"> (sent immediately):</w:t>
      </w:r>
    </w:p>
    <w:p>
      <w:pPr>
        <w:pStyle w:val="TextBody"/>
        <w:bidi w:val="0"/>
        <w:spacing w:before="0" w:after="0"/>
        <w:jc w:val="left"/>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Someone followed you</w:t>
            </w:r>
          </w:p>
        </w:tc>
      </w:tr>
    </w:tbl>
    <w:tbl>
      <w:tblPr>
        <w:tblW w:w="2193" w:type="dxa"/>
        <w:jc w:val="left"/>
        <w:tblInd w:w="0" w:type="dxa"/>
        <w:tblLayout w:type="fixed"/>
        <w:tblCellMar>
          <w:top w:w="0" w:type="dxa"/>
          <w:left w:w="0" w:type="dxa"/>
          <w:bottom w:w="0" w:type="dxa"/>
          <w:right w:w="0" w:type="dxa"/>
        </w:tblCellMar>
      </w:tblPr>
      <w:tblGrid>
        <w:gridCol w:w="38"/>
        <w:gridCol w:w="17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message received</w:t>
            </w:r>
          </w:p>
        </w:tc>
      </w:tr>
    </w:tbl>
    <w:tbl>
      <w:tblPr>
        <w:tblW w:w="2988" w:type="dxa"/>
        <w:jc w:val="left"/>
        <w:tblInd w:w="0" w:type="dxa"/>
        <w:tblLayout w:type="fixed"/>
        <w:tblCellMar>
          <w:top w:w="0" w:type="dxa"/>
          <w:left w:w="0" w:type="dxa"/>
          <w:bottom w:w="0" w:type="dxa"/>
          <w:right w:w="0" w:type="dxa"/>
        </w:tblCellMar>
      </w:tblPr>
      <w:tblGrid>
        <w:gridCol w:w="38"/>
        <w:gridCol w:w="17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team is playing (match start)</w:t>
            </w:r>
          </w:p>
        </w:tc>
      </w:tr>
    </w:tbl>
    <w:tbl>
      <w:tblPr>
        <w:tblW w:w="1998" w:type="dxa"/>
        <w:jc w:val="left"/>
        <w:tblInd w:w="0" w:type="dxa"/>
        <w:tblLayout w:type="fixed"/>
        <w:tblCellMar>
          <w:top w:w="0" w:type="dxa"/>
          <w:left w:w="0" w:type="dxa"/>
          <w:bottom w:w="0" w:type="dxa"/>
          <w:right w:w="0" w:type="dxa"/>
        </w:tblCellMar>
      </w:tblPr>
      <w:tblGrid>
        <w:gridCol w:w="38"/>
        <w:gridCol w:w="17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won a prediction</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Medium Priority</w:t>
      </w:r>
      <w:r>
        <w:rPr>
          <w:rFonts w:ascii="Times New Roman;Times;Serif" w:hAnsi="Times New Roman;Times;Serif"/>
          <w:b w:val="false"/>
          <w:i w:val="false"/>
          <w:caps w:val="false"/>
          <w:smallCaps w:val="false"/>
          <w:sz w:val="20"/>
        </w:rPr>
        <w:t xml:space="preserve"> (bundled):</w:t>
      </w:r>
    </w:p>
    <w:p>
      <w:pPr>
        <w:pStyle w:val="TextBody"/>
        <w:bidi w:val="0"/>
        <w:spacing w:before="0" w:after="0"/>
        <w:jc w:val="left"/>
        <w:rPr>
          <w:caps w:val="false"/>
          <w:smallCaps w:val="false"/>
        </w:rPr>
      </w:pPr>
      <w:r>
        <w:rPr>
          <w:caps w:val="false"/>
          <w:smallCaps w:val="false"/>
        </w:rPr>
        <w:t> </w:t>
      </w:r>
    </w:p>
    <w:tbl>
      <w:tblPr>
        <w:tblW w:w="1833" w:type="dxa"/>
        <w:jc w:val="left"/>
        <w:tblInd w:w="0" w:type="dxa"/>
        <w:tblLayout w:type="fixed"/>
        <w:tblCellMar>
          <w:top w:w="0" w:type="dxa"/>
          <w:left w:w="0" w:type="dxa"/>
          <w:bottom w:w="0" w:type="dxa"/>
          <w:right w:w="0" w:type="dxa"/>
        </w:tblCellMar>
      </w:tblPr>
      <w:tblGrid>
        <w:gridCol w:w="38"/>
        <w:gridCol w:w="17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Likes on your posts</w:t>
            </w:r>
          </w:p>
        </w:tc>
      </w:tr>
    </w:tbl>
    <w:tbl>
      <w:tblPr>
        <w:tblW w:w="2253" w:type="dxa"/>
        <w:jc w:val="left"/>
        <w:tblInd w:w="0" w:type="dxa"/>
        <w:tblLayout w:type="fixed"/>
        <w:tblCellMar>
          <w:top w:w="0" w:type="dxa"/>
          <w:left w:w="0" w:type="dxa"/>
          <w:bottom w:w="0" w:type="dxa"/>
          <w:right w:w="0" w:type="dxa"/>
        </w:tblCellMar>
      </w:tblPr>
      <w:tblGrid>
        <w:gridCol w:w="38"/>
        <w:gridCol w:w="17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Comments on your posts</w:t>
            </w:r>
          </w:p>
        </w:tc>
      </w:tr>
    </w:tbl>
    <w:tbl>
      <w:tblPr>
        <w:tblW w:w="2613" w:type="dxa"/>
        <w:jc w:val="left"/>
        <w:tblInd w:w="0" w:type="dxa"/>
        <w:tblLayout w:type="fixed"/>
        <w:tblCellMar>
          <w:top w:w="0" w:type="dxa"/>
          <w:left w:w="0" w:type="dxa"/>
          <w:bottom w:w="0" w:type="dxa"/>
          <w:right w:w="0" w:type="dxa"/>
        </w:tblCellMar>
      </w:tblPr>
      <w:tblGrid>
        <w:gridCol w:w="38"/>
        <w:gridCol w:w="17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Friend joined a hub you’re in</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Low Priority</w:t>
      </w:r>
      <w:r>
        <w:rPr>
          <w:rFonts w:ascii="Times New Roman;Times;Serif" w:hAnsi="Times New Roman;Times;Serif"/>
          <w:b w:val="false"/>
          <w:i w:val="false"/>
          <w:caps w:val="false"/>
          <w:smallCaps w:val="false"/>
          <w:sz w:val="20"/>
        </w:rPr>
        <w:t xml:space="preserve"> (daily digest):</w:t>
      </w:r>
    </w:p>
    <w:p>
      <w:pPr>
        <w:pStyle w:val="TextBody"/>
        <w:bidi w:val="0"/>
        <w:spacing w:before="0" w:after="0"/>
        <w:jc w:val="left"/>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17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Trending in your hubs</w:t>
            </w:r>
          </w:p>
        </w:tc>
      </w:tr>
    </w:tbl>
    <w:tbl>
      <w:tblPr>
        <w:tblW w:w="1923" w:type="dxa"/>
        <w:jc w:val="left"/>
        <w:tblInd w:w="0" w:type="dxa"/>
        <w:tblLayout w:type="fixed"/>
        <w:tblCellMar>
          <w:top w:w="0" w:type="dxa"/>
          <w:left w:w="0" w:type="dxa"/>
          <w:bottom w:w="0" w:type="dxa"/>
          <w:right w:w="0" w:type="dxa"/>
        </w:tblCellMar>
      </w:tblPr>
      <w:tblGrid>
        <w:gridCol w:w="38"/>
        <w:gridCol w:w="170"/>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Friend achievements</w:t>
            </w:r>
          </w:p>
        </w:tc>
      </w:tr>
    </w:tbl>
    <w:tbl>
      <w:tblPr>
        <w:tblW w:w="1278" w:type="dxa"/>
        <w:jc w:val="left"/>
        <w:tblInd w:w="0" w:type="dxa"/>
        <w:tblLayout w:type="fixed"/>
        <w:tblCellMar>
          <w:top w:w="0" w:type="dxa"/>
          <w:left w:w="0" w:type="dxa"/>
          <w:bottom w:w="0" w:type="dxa"/>
          <w:right w:w="0" w:type="dxa"/>
        </w:tblCellMar>
      </w:tblPr>
      <w:tblGrid>
        <w:gridCol w:w="38"/>
        <w:gridCol w:w="170"/>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features</w:t>
            </w:r>
          </w:p>
        </w:tc>
      </w:tr>
    </w:tbl>
    <w:p>
      <w:pPr>
        <w:pStyle w:val="TextBody"/>
        <w:bidi w:val="0"/>
        <w:spacing w:before="0" w:after="0"/>
        <w:ind w:left="2159"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90"/>
        <w:gridCol w:w="22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c>
          <w:tcPr>
            <w:tcW w:w="22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Smart Notification Timing</w:t>
            </w:r>
          </w:p>
        </w:tc>
      </w:tr>
    </w:tbl>
    <w:p>
      <w:pPr>
        <w:pStyle w:val="TextBody"/>
        <w:bidi w:val="0"/>
        <w:spacing w:before="0" w:after="0"/>
        <w:ind w:left="1870" w:right="0" w:hanging="0"/>
        <w:jc w:val="right"/>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17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Learn user’s active hours</w:t>
            </w:r>
          </w:p>
        </w:tc>
      </w:tr>
    </w:tbl>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Don’t send during typical sleep hours</w:t>
            </w:r>
          </w:p>
        </w:tc>
      </w:tr>
    </w:tbl>
    <w:tbl>
      <w:tblPr>
        <w:tblW w:w="2403" w:type="dxa"/>
        <w:jc w:val="left"/>
        <w:tblInd w:w="0" w:type="dxa"/>
        <w:tblLayout w:type="fixed"/>
        <w:tblCellMar>
          <w:top w:w="0" w:type="dxa"/>
          <w:left w:w="0" w:type="dxa"/>
          <w:bottom w:w="0" w:type="dxa"/>
          <w:right w:w="0" w:type="dxa"/>
        </w:tblCellMar>
      </w:tblPr>
      <w:tblGrid>
        <w:gridCol w:w="38"/>
        <w:gridCol w:w="17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Batch similar notifications</w:t>
            </w:r>
          </w:p>
        </w:tc>
      </w:tr>
    </w:tbl>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 notification preferences</w:t>
            </w:r>
          </w:p>
        </w:tc>
      </w:tr>
    </w:tbl>
    <w:p>
      <w:pPr>
        <w:pStyle w:val="TextBody"/>
        <w:bidi w:val="0"/>
        <w:spacing w:before="0" w:after="0"/>
        <w:ind w:left="2159" w:right="0" w:hanging="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185"/>
        <w:gridCol w:w="173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7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Search &amp; Discovery</w:t>
            </w:r>
          </w:p>
        </w:tc>
      </w:tr>
    </w:tbl>
    <w:p>
      <w:pPr>
        <w:pStyle w:val="TextBody"/>
        <w:bidi w:val="0"/>
        <w:spacing w:before="0" w:after="0"/>
        <w:ind w:left="1816" w:right="0" w:hanging="0"/>
        <w:jc w:val="righ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290"/>
        <w:gridCol w:w="13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w:t>
            </w:r>
          </w:p>
        </w:tc>
        <w:tc>
          <w:tcPr>
            <w:tcW w:w="13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Search Ranking</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User Searches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People Results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38"/>
        <w:gridCol w:w="17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username matches (highest)</w:t>
            </w:r>
          </w:p>
        </w:tc>
      </w:tr>
    </w:tbl>
    <w:p>
      <w:pPr>
        <w:pStyle w:val="TextBody"/>
        <w:bidi w:val="0"/>
        <w:spacing w:before="0" w:after="0"/>
        <w:ind w:left="2158"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170"/>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Verified/Elite users</w:t>
            </w:r>
          </w:p>
        </w:tc>
      </w:tr>
    </w:tbl>
    <w:tbl>
      <w:tblPr>
        <w:tblW w:w="2298" w:type="dxa"/>
        <w:jc w:val="left"/>
        <w:tblInd w:w="0" w:type="dxa"/>
        <w:tblLayout w:type="fixed"/>
        <w:tblCellMar>
          <w:top w:w="0" w:type="dxa"/>
          <w:left w:w="0" w:type="dxa"/>
          <w:bottom w:w="0" w:type="dxa"/>
          <w:right w:w="0" w:type="dxa"/>
        </w:tblCellMar>
      </w:tblPr>
      <w:tblGrid>
        <w:gridCol w:w="38"/>
        <w:gridCol w:w="17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 with mutual friends</w:t>
            </w:r>
          </w:p>
        </w:tc>
      </w:tr>
    </w:tbl>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Active users (posted in last 7 days)</w:t>
            </w:r>
          </w:p>
        </w:tc>
      </w:tr>
    </w:tbl>
    <w:p>
      <w:pPr>
        <w:pStyle w:val="TextBody"/>
        <w:bidi w:val="0"/>
        <w:spacing w:before="0" w:after="0"/>
        <w:ind w:left="2158"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Results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17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matches</w:t>
            </w:r>
          </w:p>
        </w:tc>
      </w:tr>
    </w:tbl>
    <w:tbl>
      <w:tblPr>
        <w:tblW w:w="1428" w:type="dxa"/>
        <w:jc w:val="left"/>
        <w:tblInd w:w="0" w:type="dxa"/>
        <w:tblLayout w:type="fixed"/>
        <w:tblCellMar>
          <w:top w:w="0" w:type="dxa"/>
          <w:left w:w="0" w:type="dxa"/>
          <w:bottom w:w="0" w:type="dxa"/>
          <w:right w:w="0" w:type="dxa"/>
        </w:tblCellMar>
      </w:tblPr>
      <w:tblGrid>
        <w:gridCol w:w="38"/>
        <w:gridCol w:w="170"/>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members</w:t>
            </w:r>
          </w:p>
        </w:tc>
      </w:tr>
    </w:tbl>
    <w:tbl>
      <w:tblPr>
        <w:tblW w:w="1203" w:type="dxa"/>
        <w:jc w:val="left"/>
        <w:tblInd w:w="0" w:type="dxa"/>
        <w:tblLayout w:type="fixed"/>
        <w:tblCellMar>
          <w:top w:w="0" w:type="dxa"/>
          <w:left w:w="0" w:type="dxa"/>
          <w:bottom w:w="0" w:type="dxa"/>
          <w:right w:w="0" w:type="dxa"/>
        </w:tblCellMar>
      </w:tblPr>
      <w:tblGrid>
        <w:gridCol w:w="38"/>
        <w:gridCol w:w="170"/>
        <w:gridCol w:w="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active</w:t>
            </w:r>
          </w:p>
        </w:tc>
      </w:tr>
    </w:tbl>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 friends are members</w:t>
            </w:r>
          </w:p>
        </w:tc>
      </w:tr>
    </w:tbl>
    <w:p>
      <w:pPr>
        <w:pStyle w:val="TextBody"/>
        <w:bidi w:val="0"/>
        <w:spacing w:before="0" w:after="0"/>
        <w:ind w:left="2158"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Results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17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content (last 30 days)</w:t>
            </w:r>
          </w:p>
        </w:tc>
      </w:tr>
    </w:tbl>
    <w:tbl>
      <w:tblPr>
        <w:tblW w:w="2343" w:type="dxa"/>
        <w:jc w:val="left"/>
        <w:tblInd w:w="0" w:type="dxa"/>
        <w:tblLayout w:type="fixed"/>
        <w:tblCellMar>
          <w:top w:w="0" w:type="dxa"/>
          <w:left w:w="0" w:type="dxa"/>
          <w:bottom w:w="0" w:type="dxa"/>
          <w:right w:w="0" w:type="dxa"/>
        </w:tblCellMar>
      </w:tblPr>
      <w:tblGrid>
        <w:gridCol w:w="38"/>
        <w:gridCol w:w="17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engagement content</w:t>
            </w:r>
          </w:p>
        </w:tc>
      </w:tr>
    </w:tbl>
    <w:tbl>
      <w:tblPr>
        <w:tblW w:w="2328" w:type="dxa"/>
        <w:jc w:val="left"/>
        <w:tblInd w:w="0" w:type="dxa"/>
        <w:tblLayout w:type="fixed"/>
        <w:tblCellMar>
          <w:top w:w="0" w:type="dxa"/>
          <w:left w:w="0" w:type="dxa"/>
          <w:bottom w:w="0" w:type="dxa"/>
          <w:right w:w="0" w:type="dxa"/>
        </w:tblCellMar>
      </w:tblPr>
      <w:tblGrid>
        <w:gridCol w:w="38"/>
        <w:gridCol w:w="17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followed users/hubs</w:t>
            </w:r>
          </w:p>
        </w:tc>
      </w:tr>
    </w:tbl>
    <w:tbl>
      <w:tblPr>
        <w:tblW w:w="1788" w:type="dxa"/>
        <w:jc w:val="left"/>
        <w:tblInd w:w="0" w:type="dxa"/>
        <w:tblLayout w:type="fixed"/>
        <w:tblCellMar>
          <w:top w:w="0" w:type="dxa"/>
          <w:left w:w="0" w:type="dxa"/>
          <w:bottom w:w="0" w:type="dxa"/>
          <w:right w:w="0" w:type="dxa"/>
        </w:tblCellMar>
      </w:tblPr>
      <w:tblGrid>
        <w:gridCol w:w="38"/>
        <w:gridCol w:w="170"/>
        <w:gridCol w:w="1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Matching hashtags</w:t>
            </w:r>
          </w:p>
        </w:tc>
      </w:tr>
    </w:tbl>
    <w:p>
      <w:pPr>
        <w:pStyle w:val="TextBody"/>
        <w:bidi w:val="0"/>
        <w:spacing w:before="0" w:after="0"/>
        <w:ind w:left="2158" w:right="0" w:hanging="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290"/>
        <w:gridCol w:w="15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w:t>
            </w:r>
          </w:p>
        </w:tc>
        <w:tc>
          <w:tcPr>
            <w:tcW w:w="15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Hashtag Trending</w:t>
            </w:r>
          </w:p>
        </w:tc>
      </w:tr>
    </w:tbl>
    <w:p>
      <w:pPr>
        <w:pStyle w:val="TextBody"/>
        <w:bidi w:val="0"/>
        <w:spacing w:before="0" w:after="0"/>
        <w:ind w:left="187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Hashtag Qualifications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17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Used 50+ times in last hour</w:t>
            </w:r>
          </w:p>
        </w:tc>
      </w:tr>
    </w:tbl>
    <w:tbl>
      <w:tblPr>
        <w:tblW w:w="2718" w:type="dxa"/>
        <w:jc w:val="left"/>
        <w:tblInd w:w="0" w:type="dxa"/>
        <w:tblLayout w:type="fixed"/>
        <w:tblCellMar>
          <w:top w:w="0" w:type="dxa"/>
          <w:left w:w="0" w:type="dxa"/>
          <w:bottom w:w="0" w:type="dxa"/>
          <w:right w:w="0" w:type="dxa"/>
        </w:tblCellMar>
      </w:tblPr>
      <w:tblGrid>
        <w:gridCol w:w="38"/>
        <w:gridCol w:w="170"/>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usage (not declining)</w:t>
            </w:r>
          </w:p>
        </w:tc>
      </w:tr>
    </w:tbl>
    <w:tbl>
      <w:tblPr>
        <w:tblW w:w="1698" w:type="dxa"/>
        <w:jc w:val="left"/>
        <w:tblInd w:w="0" w:type="dxa"/>
        <w:tblLayout w:type="fixed"/>
        <w:tblCellMar>
          <w:top w:w="0" w:type="dxa"/>
          <w:left w:w="0" w:type="dxa"/>
          <w:bottom w:w="0" w:type="dxa"/>
          <w:right w:w="0" w:type="dxa"/>
        </w:tblCellMar>
      </w:tblPr>
      <w:tblGrid>
        <w:gridCol w:w="38"/>
        <w:gridCol w:w="17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in banned list</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Display Order</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38"/>
        <w:gridCol w:w="17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velocity (uses per hour)</w:t>
            </w:r>
          </w:p>
        </w:tc>
      </w:tr>
    </w:tbl>
    <w:tbl>
      <w:tblPr>
        <w:tblW w:w="1578" w:type="dxa"/>
        <w:jc w:val="left"/>
        <w:tblInd w:w="0" w:type="dxa"/>
        <w:tblLayout w:type="fixed"/>
        <w:tblCellMar>
          <w:top w:w="0" w:type="dxa"/>
          <w:left w:w="0" w:type="dxa"/>
          <w:bottom w:w="0" w:type="dxa"/>
          <w:right w:w="0" w:type="dxa"/>
        </w:tblCellMar>
      </w:tblPr>
      <w:tblGrid>
        <w:gridCol w:w="38"/>
        <w:gridCol w:w="17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uses today</w:t>
            </w:r>
          </w:p>
        </w:tc>
      </w:tr>
    </w:tbl>
    <w:tbl>
      <w:tblPr>
        <w:tblW w:w="1953" w:type="dxa"/>
        <w:jc w:val="left"/>
        <w:tblInd w:w="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Unique users using it</w:t>
            </w:r>
          </w:p>
        </w:tc>
      </w:tr>
    </w:tbl>
    <w:p>
      <w:pPr>
        <w:pStyle w:val="TextBody"/>
        <w:bidi w:val="0"/>
        <w:spacing w:before="0" w:after="0"/>
        <w:ind w:left="2159" w:right="0" w:hanging="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290"/>
        <w:gridCol w:w="31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31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&amp; Anti-Spam Measures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31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31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Smart Anti-Spam (Not Hard Limits)</w:t>
            </w:r>
          </w:p>
        </w:tc>
      </w:tr>
    </w:tbl>
    <w:p>
      <w:pPr>
        <w:pStyle w:val="TextBody"/>
        <w:bidi w:val="0"/>
        <w:spacing w:before="0" w:after="0"/>
        <w:ind w:left="2176"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Instead of daily limits, use behavior-based detection: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Spam Indicators</w:t>
      </w:r>
      <w:r>
        <w:rPr>
          <w:rFonts w:ascii="Times New Roman;Times;Serif" w:hAnsi="Times New Roman;Times;Serif"/>
          <w:b w:val="false"/>
          <w:i w:val="false"/>
          <w:caps w:val="false"/>
          <w:smallCaps w:val="false"/>
          <w:sz w:val="20"/>
        </w:rPr>
        <w:t>:</w:t>
      </w:r>
    </w:p>
    <w:p>
      <w:pPr>
        <w:pStyle w:val="TextBody"/>
        <w:bidi w:val="0"/>
        <w:spacing w:before="0" w:after="0"/>
        <w:ind w:left="1080" w:right="0" w:firstLine="360"/>
        <w:jc w:val="both"/>
        <w:rPr>
          <w:caps w:val="false"/>
          <w:smallCaps w:val="false"/>
        </w:rPr>
      </w:pPr>
      <w:r>
        <w:rPr>
          <w:caps w:val="false"/>
          <w:smallCaps w:val="false"/>
        </w:rPr>
        <w:t> </w:t>
      </w:r>
    </w:p>
    <w:tbl>
      <w:tblPr>
        <w:tblW w:w="3498" w:type="dxa"/>
        <w:jc w:val="left"/>
        <w:tblInd w:w="0" w:type="dxa"/>
        <w:tblLayout w:type="fixed"/>
        <w:tblCellMar>
          <w:top w:w="0" w:type="dxa"/>
          <w:left w:w="0" w:type="dxa"/>
          <w:bottom w:w="0" w:type="dxa"/>
          <w:right w:w="0" w:type="dxa"/>
        </w:tblCellMar>
      </w:tblPr>
      <w:tblGrid>
        <w:gridCol w:w="38"/>
        <w:gridCol w:w="170"/>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Posting identical content multiple times</w:t>
            </w:r>
          </w:p>
        </w:tc>
      </w:tr>
    </w:tbl>
    <w:tbl>
      <w:tblPr>
        <w:tblW w:w="5118" w:type="dxa"/>
        <w:jc w:val="left"/>
        <w:tblInd w:w="0" w:type="dxa"/>
        <w:tblLayout w:type="fixed"/>
        <w:tblCellMar>
          <w:top w:w="0" w:type="dxa"/>
          <w:left w:w="0" w:type="dxa"/>
          <w:bottom w:w="0" w:type="dxa"/>
          <w:right w:w="0" w:type="dxa"/>
        </w:tblCellMar>
      </w:tblPr>
      <w:tblGrid>
        <w:gridCol w:w="38"/>
        <w:gridCol w:w="17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Posting more than 10 times in 5 minutes (clearly automated)</w:t>
            </w:r>
          </w:p>
        </w:tc>
      </w:tr>
    </w:tbl>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Following/unfollowing same users repeatedly</w:t>
            </w:r>
          </w:p>
        </w:tc>
      </w:tr>
    </w:tbl>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Copy-pasting same comment everywhere</w:t>
            </w:r>
          </w:p>
        </w:tc>
      </w:tr>
    </w:tbl>
    <w:tbl>
      <w:tblPr>
        <w:tblW w:w="3618" w:type="dxa"/>
        <w:jc w:val="left"/>
        <w:tblInd w:w="0" w:type="dxa"/>
        <w:tblLayout w:type="fixed"/>
        <w:tblCellMar>
          <w:top w:w="0" w:type="dxa"/>
          <w:left w:w="0" w:type="dxa"/>
          <w:bottom w:w="0" w:type="dxa"/>
          <w:right w:w="0" w:type="dxa"/>
        </w:tblCellMar>
      </w:tblPr>
      <w:tblGrid>
        <w:gridCol w:w="38"/>
        <w:gridCol w:w="17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Posting links to external sites excessively</w:t>
            </w:r>
          </w:p>
        </w:tc>
      </w:tr>
    </w:tbl>
    <w:p>
      <w:pPr>
        <w:pStyle w:val="TextBody"/>
        <w:bidi w:val="0"/>
        <w:spacing w:before="0" w:after="0"/>
        <w:ind w:left="215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We Actually Do</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170"/>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Rate limiting</w:t>
            </w:r>
            <w:r>
              <w:rPr>
                <w:rFonts w:ascii="Times New Roman;Times;Serif" w:hAnsi="Times New Roman;Times;Serif"/>
                <w:b w:val="false"/>
                <w:i w:val="false"/>
                <w:caps w:val="false"/>
                <w:smallCaps w:val="false"/>
                <w:sz w:val="20"/>
              </w:rPr>
              <w:t>: Slow down actions if too rapid (e.g., can’t like 100 posts in 1 second)</w:t>
            </w:r>
          </w:p>
        </w:tc>
      </w:tr>
    </w:tbl>
    <w:tbl>
      <w:tblPr>
        <w:tblW w:w="5073" w:type="dxa"/>
        <w:jc w:val="left"/>
        <w:tblInd w:w="0" w:type="dxa"/>
        <w:tblLayout w:type="fixed"/>
        <w:tblCellMar>
          <w:top w:w="0" w:type="dxa"/>
          <w:left w:w="0" w:type="dxa"/>
          <w:bottom w:w="0" w:type="dxa"/>
          <w:right w:w="0" w:type="dxa"/>
        </w:tblCellMar>
      </w:tblPr>
      <w:tblGrid>
        <w:gridCol w:w="38"/>
        <w:gridCol w:w="17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Cooldowns</w:t>
            </w:r>
            <w:r>
              <w:rPr>
                <w:rFonts w:ascii="Times New Roman;Times;Serif" w:hAnsi="Times New Roman;Times;Serif"/>
                <w:b w:val="false"/>
                <w:i w:val="false"/>
                <w:caps w:val="false"/>
                <w:smallCaps w:val="false"/>
                <w:sz w:val="20"/>
              </w:rPr>
              <w:t>: After 50 rapid actions, require 30-second break</w:t>
            </w:r>
          </w:p>
        </w:tc>
      </w:tr>
    </w:tbl>
    <w:tbl>
      <w:tblPr>
        <w:tblW w:w="5553" w:type="dxa"/>
        <w:jc w:val="left"/>
        <w:tblInd w:w="0" w:type="dxa"/>
        <w:tblLayout w:type="fixed"/>
        <w:tblCellMar>
          <w:top w:w="0" w:type="dxa"/>
          <w:left w:w="0" w:type="dxa"/>
          <w:bottom w:w="0" w:type="dxa"/>
          <w:right w:w="0" w:type="dxa"/>
        </w:tblCellMar>
      </w:tblPr>
      <w:tblGrid>
        <w:gridCol w:w="38"/>
        <w:gridCol w:w="170"/>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Shadow restrictions</w:t>
            </w:r>
            <w:r>
              <w:rPr>
                <w:rFonts w:ascii="Times New Roman;Times;Serif" w:hAnsi="Times New Roman;Times;Serif"/>
                <w:b w:val="false"/>
                <w:i w:val="false"/>
                <w:caps w:val="false"/>
                <w:smallCaps w:val="false"/>
                <w:sz w:val="20"/>
              </w:rPr>
              <w:t>: Spammers see their content but others don’t</w:t>
            </w:r>
          </w:p>
        </w:tc>
      </w:tr>
    </w:tbl>
    <w:tbl>
      <w:tblPr>
        <w:tblW w:w="6318" w:type="dxa"/>
        <w:jc w:val="left"/>
        <w:tblInd w:w="0" w:type="dxa"/>
        <w:tblLayout w:type="fixed"/>
        <w:tblCellMar>
          <w:top w:w="0" w:type="dxa"/>
          <w:left w:w="0" w:type="dxa"/>
          <w:bottom w:w="0" w:type="dxa"/>
          <w:right w:w="0" w:type="dxa"/>
        </w:tblCellMar>
      </w:tblPr>
      <w:tblGrid>
        <w:gridCol w:w="38"/>
        <w:gridCol w:w="170"/>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account restrictions</w:t>
            </w:r>
            <w:r>
              <w:rPr>
                <w:rFonts w:ascii="Times New Roman;Times;Serif" w:hAnsi="Times New Roman;Times;Serif"/>
                <w:b w:val="false"/>
                <w:i w:val="false"/>
                <w:caps w:val="false"/>
                <w:smallCaps w:val="false"/>
                <w:sz w:val="20"/>
              </w:rPr>
              <w:t>: Can’t DM until they’ve been active for 24 hours</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 Users Can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17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 as much quality content as they want</w:t>
            </w:r>
          </w:p>
        </w:tc>
      </w:tr>
    </w:tbl>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 everything they genuinely enjoy</w:t>
            </w:r>
          </w:p>
        </w:tc>
      </w:tr>
    </w:tbl>
    <w:tbl>
      <w:tblPr>
        <w:tblW w:w="3468" w:type="dxa"/>
        <w:jc w:val="left"/>
        <w:tblInd w:w="0" w:type="dxa"/>
        <w:tblLayout w:type="fixed"/>
        <w:tblCellMar>
          <w:top w:w="0" w:type="dxa"/>
          <w:left w:w="0" w:type="dxa"/>
          <w:bottom w:w="0" w:type="dxa"/>
          <w:right w:w="0" w:type="dxa"/>
        </w:tblCellMar>
      </w:tblPr>
      <w:tblGrid>
        <w:gridCol w:w="38"/>
        <w:gridCol w:w="17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 on every post they care about</w:t>
            </w:r>
          </w:p>
        </w:tc>
      </w:tr>
    </w:tbl>
    <w:tbl>
      <w:tblPr>
        <w:tblW w:w="3798" w:type="dxa"/>
        <w:jc w:val="left"/>
        <w:tblInd w:w="0" w:type="dxa"/>
        <w:tblLayout w:type="fixed"/>
        <w:tblCellMar>
          <w:top w:w="0" w:type="dxa"/>
          <w:left w:w="0" w:type="dxa"/>
          <w:bottom w:w="0" w:type="dxa"/>
          <w:right w:w="0" w:type="dxa"/>
        </w:tblCellMar>
      </w:tblPr>
      <w:tblGrid>
        <w:gridCol w:w="38"/>
        <w:gridCol w:w="17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 all the accounts they’re interested in</w:t>
            </w:r>
          </w:p>
        </w:tc>
      </w:tr>
    </w:tbl>
    <w:p>
      <w:pPr>
        <w:pStyle w:val="TextBody"/>
        <w:bidi w:val="0"/>
        <w:spacing w:before="0" w:after="0"/>
        <w:ind w:left="2159"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goal is stopping bots and spam, not limiting genuine fans who are excited about a match or having great discussions. A real football fan might post 50 times during El Clasico - that’s engagement we WANT!</w:t>
      </w:r>
    </w:p>
    <w:p>
      <w:pPr>
        <w:pStyle w:val="TextBody"/>
        <w:bidi w:val="0"/>
        <w:spacing w:before="0" w:after="0"/>
        <w:jc w:val="left"/>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275"/>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w:t>
            </w:r>
          </w:p>
        </w:tc>
        <w:tc>
          <w:tcPr>
            <w:tcW w:w="15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Retention</w:t>
            </w:r>
          </w:p>
        </w:tc>
      </w:tr>
    </w:tbl>
    <w:p>
      <w:pPr>
        <w:pStyle w:val="TextBody"/>
        <w:bidi w:val="0"/>
        <w:spacing w:before="0" w:after="0"/>
        <w:ind w:left="223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Keep it Simple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Posts: Kept forever (users can delete their own)</w:t>
            </w:r>
          </w:p>
        </w:tc>
      </w:tr>
    </w:tbl>
    <w:tbl>
      <w:tblPr>
        <w:tblW w:w="2463" w:type="dxa"/>
        <w:jc w:val="left"/>
        <w:tblInd w:w="0" w:type="dxa"/>
        <w:tblLayout w:type="fixed"/>
        <w:tblCellMar>
          <w:top w:w="0" w:type="dxa"/>
          <w:left w:w="0" w:type="dxa"/>
          <w:bottom w:w="0" w:type="dxa"/>
          <w:right w:w="0" w:type="dxa"/>
        </w:tblCellMar>
      </w:tblPr>
      <w:tblGrid>
        <w:gridCol w:w="38"/>
        <w:gridCol w:w="17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Stories: 24 hours (standard)</w:t>
            </w:r>
          </w:p>
        </w:tc>
      </w:tr>
    </w:tbl>
    <w:tbl>
      <w:tblPr>
        <w:tblW w:w="5973" w:type="dxa"/>
        <w:jc w:val="left"/>
        <w:tblInd w:w="0" w:type="dxa"/>
        <w:tblLayout w:type="fixed"/>
        <w:tblCellMar>
          <w:top w:w="0" w:type="dxa"/>
          <w:left w:w="0" w:type="dxa"/>
          <w:bottom w:w="0" w:type="dxa"/>
          <w:right w:w="0" w:type="dxa"/>
        </w:tblCellMar>
      </w:tblPr>
      <w:tblGrid>
        <w:gridCol w:w="38"/>
        <w:gridCol w:w="170"/>
        <w:gridCol w:w="5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Deleted content: Actually deleted after 30 days (for recovery purposes)</w:t>
            </w:r>
          </w:p>
        </w:tc>
      </w:tr>
    </w:tbl>
    <w:tbl>
      <w:tblPr>
        <w:tblW w:w="3228" w:type="dxa"/>
        <w:jc w:val="left"/>
        <w:tblInd w:w="0" w:type="dxa"/>
        <w:tblLayout w:type="fixed"/>
        <w:tblCellMar>
          <w:top w:w="0" w:type="dxa"/>
          <w:left w:w="0" w:type="dxa"/>
          <w:bottom w:w="0" w:type="dxa"/>
          <w:right w:w="0" w:type="dxa"/>
        </w:tblCellMar>
      </w:tblPr>
      <w:tblGrid>
        <w:gridCol w:w="38"/>
        <w:gridCol w:w="17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data: Compliant with local laws</w:t>
            </w:r>
          </w:p>
        </w:tc>
      </w:tr>
    </w:tbl>
    <w:p>
      <w:pPr>
        <w:pStyle w:val="TextBody"/>
        <w:bidi w:val="0"/>
        <w:spacing w:before="0" w:after="0"/>
        <w:ind w:left="2159"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GXR Tech Stack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 Frontend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React Native:</w:t>
      </w:r>
      <w:r>
        <w:rPr>
          <w:rFonts w:ascii="Times New Roman;Times;Serif" w:hAnsi="Times New Roman;Times;Serif"/>
          <w:b w:val="false"/>
          <w:i w:val="false"/>
          <w:caps w:val="false"/>
          <w:smallCaps w:val="false"/>
          <w:sz w:val="20"/>
        </w:rPr>
        <w:t xml:space="preserve"> Allowing cross platform deployment across Android, iOS and Web</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Databases</w:t>
      </w:r>
    </w:p>
    <w:p>
      <w:pPr>
        <w:pStyle w:val="TextBody"/>
        <w:bidi w:val="0"/>
        <w:spacing w:before="0" w:after="0"/>
        <w:jc w:val="left"/>
        <w:rPr>
          <w:caps w:val="false"/>
          <w:smallCaps w:val="false"/>
        </w:rPr>
      </w:pPr>
      <w:r>
        <w:rPr>
          <w:caps w:val="false"/>
          <w:smallCaps w:val="false"/>
        </w:rPr>
        <w:t> </w:t>
      </w:r>
    </w:p>
    <w:tbl>
      <w:tblPr>
        <w:tblW w:w="6888" w:type="dxa"/>
        <w:jc w:val="left"/>
        <w:tblInd w:w="0" w:type="dxa"/>
        <w:tblLayout w:type="fixed"/>
        <w:tblCellMar>
          <w:top w:w="0" w:type="dxa"/>
          <w:left w:w="0" w:type="dxa"/>
          <w:bottom w:w="0" w:type="dxa"/>
          <w:right w:w="0" w:type="dxa"/>
        </w:tblCellMar>
      </w:tblPr>
      <w:tblGrid>
        <w:gridCol w:w="38"/>
        <w:gridCol w:w="170"/>
        <w:gridCol w:w="6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MongoDB</w:t>
            </w:r>
            <w:r>
              <w:rPr>
                <w:rFonts w:ascii="Times New Roman;Times;Serif" w:hAnsi="Times New Roman;Times;Serif"/>
                <w:b w:val="false"/>
                <w:i w:val="false"/>
                <w:caps w:val="false"/>
                <w:smallCaps w:val="false"/>
                <w:sz w:val="20"/>
              </w:rPr>
              <w:t>: MongoDB’s is used for in game/app events, player stats and analytics.</w:t>
            </w:r>
          </w:p>
        </w:tc>
      </w:tr>
    </w:tbl>
    <w:tbl>
      <w:tblPr>
        <w:tblW w:w="7818" w:type="dxa"/>
        <w:jc w:val="left"/>
        <w:tblInd w:w="0" w:type="dxa"/>
        <w:tblLayout w:type="fixed"/>
        <w:tblCellMar>
          <w:top w:w="0" w:type="dxa"/>
          <w:left w:w="0" w:type="dxa"/>
          <w:bottom w:w="0" w:type="dxa"/>
          <w:right w:w="0" w:type="dxa"/>
        </w:tblCellMar>
      </w:tblPr>
      <w:tblGrid>
        <w:gridCol w:w="38"/>
        <w:gridCol w:w="170"/>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PostgreSQL</w:t>
            </w:r>
            <w:r>
              <w:rPr>
                <w:rFonts w:ascii="Times New Roman;Times;Serif" w:hAnsi="Times New Roman;Times;Serif"/>
                <w:b w:val="false"/>
                <w:i w:val="false"/>
                <w:caps w:val="false"/>
                <w:smallCaps w:val="false"/>
                <w:sz w:val="20"/>
              </w:rPr>
              <w:t>: PostgreSQL is used for transactional data, content data, player data and configs.</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Backend Framework</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NestJS</w:t>
            </w:r>
            <w:r>
              <w:rPr>
                <w:rFonts w:ascii="Times New Roman;Times;Serif" w:hAnsi="Times New Roman;Times;Serif"/>
                <w:b w:val="false"/>
                <w:i w:val="false"/>
                <w:caps w:val="false"/>
                <w:smallCaps w:val="false"/>
                <w:sz w:val="20"/>
              </w:rPr>
              <w:t>: A progressive Node.js framework for building efficient, scalable, and maintainable server-side applications. With its modular architecture, NestJS simplifies the integration of features like authentication, event handling, and microservices.</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Runtime Environment</w:t>
      </w:r>
    </w:p>
    <w:p>
      <w:pPr>
        <w:pStyle w:val="TextBody"/>
        <w:bidi w:val="0"/>
        <w:spacing w:before="0" w:after="0"/>
        <w:jc w:val="left"/>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Node.js</w:t>
            </w:r>
            <w:r>
              <w:rPr>
                <w:rFonts w:ascii="Times New Roman;Times;Serif" w:hAnsi="Times New Roman;Times;Serif"/>
                <w:b w:val="false"/>
                <w:i w:val="false"/>
                <w:caps w:val="false"/>
                <w:smallCaps w:val="false"/>
                <w:sz w:val="20"/>
              </w:rPr>
              <w:t>: powers the backend, ensuring high performance and scalability for real-time applications like gaming.</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 Dashboard</w:t>
      </w:r>
    </w:p>
    <w:p>
      <w:pPr>
        <w:pStyle w:val="TextBody"/>
        <w:bidi w:val="0"/>
        <w:spacing w:before="0" w:after="0"/>
        <w:jc w:val="left"/>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17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React</w:t>
            </w:r>
            <w:r>
              <w:rPr>
                <w:rFonts w:ascii="Times New Roman;Times;Serif" w:hAnsi="Times New Roman;Times;Serif"/>
                <w:b w:val="false"/>
                <w:i w:val="false"/>
                <w:caps w:val="false"/>
                <w:smallCaps w:val="false"/>
                <w:sz w:val="20"/>
              </w:rPr>
              <w:t>: React is used for the admin dashboard, enabling smooth and interactive user experiences.</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DevOps Infrastructure</w:t>
      </w:r>
    </w:p>
    <w:p>
      <w:pPr>
        <w:pStyle w:val="TextBody"/>
        <w:bidi w:val="0"/>
        <w:spacing w:before="0" w:after="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185"/>
        <w:gridCol w:w="179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7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Cloud Infrastructure</w:t>
            </w:r>
          </w:p>
        </w:tc>
      </w:tr>
    </w:tbl>
    <w:p>
      <w:pPr>
        <w:pStyle w:val="TextBody"/>
        <w:bidi w:val="0"/>
        <w:spacing w:before="0" w:after="0"/>
        <w:ind w:left="1727" w:right="0" w:hanging="28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AWS (Amazon Web Services):</w:t>
            </w:r>
            <w:r>
              <w:rPr>
                <w:rFonts w:ascii="Times New Roman;Times;Serif" w:hAnsi="Times New Roman;Times;Serif"/>
                <w:b w:val="false"/>
                <w:i w:val="false"/>
                <w:caps w:val="false"/>
                <w:smallCaps w:val="false"/>
                <w:sz w:val="20"/>
              </w:rPr>
              <w:t xml:space="preserve"> Specter is hosted on AWS, leveraging its scalable and secure infrastructure. The following services make up our core:</w:t>
            </w:r>
          </w:p>
        </w:tc>
      </w:tr>
    </w:tbl>
    <w:tbl>
      <w:tblPr>
        <w:tblW w:w="1623" w:type="dxa"/>
        <w:jc w:val="left"/>
        <w:tblInd w:w="0" w:type="dxa"/>
        <w:tblLayout w:type="fixed"/>
        <w:tblCellMar>
          <w:top w:w="0" w:type="dxa"/>
          <w:left w:w="0" w:type="dxa"/>
          <w:bottom w:w="0" w:type="dxa"/>
          <w:right w:w="0" w:type="dxa"/>
        </w:tblCellMar>
      </w:tblPr>
      <w:tblGrid>
        <w:gridCol w:w="38"/>
        <w:gridCol w:w="17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EC2:</w:t>
            </w:r>
            <w:r>
              <w:rPr>
                <w:rFonts w:ascii="Times New Roman;Times;Serif" w:hAnsi="Times New Roman;Times;Serif"/>
                <w:b w:val="false"/>
                <w:i w:val="false"/>
                <w:caps w:val="false"/>
                <w:smallCaps w:val="false"/>
                <w:sz w:val="20"/>
              </w:rPr>
              <w:t xml:space="preserve"> API servers</w:t>
            </w:r>
          </w:p>
        </w:tc>
      </w:tr>
    </w:tbl>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S3:</w:t>
            </w:r>
            <w:r>
              <w:rPr>
                <w:rFonts w:ascii="Times New Roman;Times;Serif" w:hAnsi="Times New Roman;Times;Serif"/>
                <w:b w:val="false"/>
                <w:i w:val="false"/>
                <w:caps w:val="false"/>
                <w:smallCaps w:val="false"/>
                <w:sz w:val="20"/>
              </w:rPr>
              <w:t xml:space="preserve"> Media storage</w:t>
            </w:r>
          </w:p>
        </w:tc>
      </w:tr>
    </w:tbl>
    <w:tbl>
      <w:tblPr>
        <w:tblW w:w="2403" w:type="dxa"/>
        <w:jc w:val="left"/>
        <w:tblInd w:w="0" w:type="dxa"/>
        <w:tblLayout w:type="fixed"/>
        <w:tblCellMar>
          <w:top w:w="0" w:type="dxa"/>
          <w:left w:w="0" w:type="dxa"/>
          <w:bottom w:w="0" w:type="dxa"/>
          <w:right w:w="0" w:type="dxa"/>
        </w:tblCellMar>
      </w:tblPr>
      <w:tblGrid>
        <w:gridCol w:w="38"/>
        <w:gridCol w:w="17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Aurora:</w:t>
            </w:r>
            <w:r>
              <w:rPr>
                <w:rFonts w:ascii="Times New Roman;Times;Serif" w:hAnsi="Times New Roman;Times;Serif"/>
                <w:b w:val="false"/>
                <w:i w:val="false"/>
                <w:caps w:val="false"/>
                <w:smallCaps w:val="false"/>
                <w:sz w:val="20"/>
              </w:rPr>
              <w:t xml:space="preserve"> Postgres database</w:t>
            </w:r>
          </w:p>
        </w:tc>
      </w:tr>
    </w:tbl>
    <w:tbl>
      <w:tblPr>
        <w:tblW w:w="8088" w:type="dxa"/>
        <w:jc w:val="left"/>
        <w:tblInd w:w="0" w:type="dxa"/>
        <w:tblLayout w:type="fixed"/>
        <w:tblCellMar>
          <w:top w:w="0" w:type="dxa"/>
          <w:left w:w="0" w:type="dxa"/>
          <w:bottom w:w="0" w:type="dxa"/>
          <w:right w:w="0" w:type="dxa"/>
        </w:tblCellMar>
      </w:tblPr>
      <w:tblGrid>
        <w:gridCol w:w="38"/>
        <w:gridCol w:w="170"/>
        <w:gridCol w:w="7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Lambda:</w:t>
            </w:r>
            <w:r>
              <w:rPr>
                <w:rFonts w:ascii="Times New Roman;Times;Serif" w:hAnsi="Times New Roman;Times;Serif"/>
                <w:b w:val="false"/>
                <w:i w:val="false"/>
                <w:caps w:val="false"/>
                <w:smallCaps w:val="false"/>
                <w:sz w:val="20"/>
              </w:rPr>
              <w:t xml:space="preserve"> On demand compute for achievements systems, event calculations and rule validations</w:t>
            </w:r>
          </w:p>
        </w:tc>
      </w:tr>
    </w:tbl>
    <w:tbl>
      <w:tblPr>
        <w:tblW w:w="1698" w:type="dxa"/>
        <w:jc w:val="left"/>
        <w:tblInd w:w="0" w:type="dxa"/>
        <w:tblLayout w:type="fixed"/>
        <w:tblCellMar>
          <w:top w:w="0" w:type="dxa"/>
          <w:left w:w="0" w:type="dxa"/>
          <w:bottom w:w="0" w:type="dxa"/>
          <w:right w:w="0" w:type="dxa"/>
        </w:tblCellMar>
      </w:tblPr>
      <w:tblGrid>
        <w:gridCol w:w="38"/>
        <w:gridCol w:w="17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CloudFront: CDN</w:t>
            </w:r>
          </w:p>
        </w:tc>
      </w:tr>
    </w:tbl>
    <w:p>
      <w:pPr>
        <w:pStyle w:val="TextBody"/>
        <w:bidi w:val="0"/>
        <w:spacing w:before="0" w:after="0"/>
        <w:ind w:left="287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Load Balancers:</w:t>
            </w:r>
            <w:r>
              <w:rPr>
                <w:rFonts w:ascii="Times New Roman;Times;Serif" w:hAnsi="Times New Roman;Times;Serif"/>
                <w:b w:val="false"/>
                <w:i w:val="false"/>
                <w:caps w:val="false"/>
                <w:smallCaps w:val="false"/>
                <w:sz w:val="20"/>
              </w:rPr>
              <w:t xml:space="preserve"> AWS Elastic Load Balancers to distribute traffic evenly across EC2 instances, ensuring high availability and fault tolerance for both client and admin services.</w:t>
            </w:r>
          </w:p>
        </w:tc>
      </w:tr>
    </w:tbl>
    <w:p>
      <w:pPr>
        <w:pStyle w:val="TextBody"/>
        <w:bidi w:val="0"/>
        <w:spacing w:before="0" w:after="0"/>
        <w:ind w:left="1800" w:right="0" w:hanging="360"/>
        <w:jc w:val="both"/>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17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infrastructure is contained within a private VPC</w:t>
            </w:r>
          </w:p>
        </w:tc>
      </w:tr>
    </w:tbl>
    <w:p>
      <w:pPr>
        <w:pStyle w:val="TextBody"/>
        <w:bidi w:val="0"/>
        <w:spacing w:before="0" w:after="0"/>
        <w:ind w:left="2159"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185"/>
        <w:gridCol w:w="21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1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Monitoring and Logging</w:t>
            </w:r>
          </w:p>
        </w:tc>
      </w:tr>
    </w:tbl>
    <w:p>
      <w:pPr>
        <w:pStyle w:val="TextBody"/>
        <w:bidi w:val="0"/>
        <w:spacing w:before="0" w:after="0"/>
        <w:ind w:left="1727" w:right="0" w:hanging="287"/>
        <w:jc w:val="right"/>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170"/>
        <w:gridCol w:w="6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AWS CloudWatch:</w:t>
            </w:r>
            <w:r>
              <w:rPr>
                <w:rFonts w:ascii="Times New Roman;Times;Serif" w:hAnsi="Times New Roman;Times;Serif"/>
                <w:b w:val="false"/>
                <w:i w:val="false"/>
                <w:caps w:val="false"/>
                <w:smallCaps w:val="false"/>
                <w:sz w:val="20"/>
              </w:rPr>
              <w:t xml:space="preserve"> Provides detailed monitoring metrics for AWS-hosted resources.</w:t>
            </w:r>
          </w:p>
        </w:tc>
      </w:tr>
    </w:tbl>
    <w:p>
      <w:pPr>
        <w:pStyle w:val="TextBody"/>
        <w:bidi w:val="0"/>
        <w:spacing w:before="0" w:after="0"/>
        <w:ind w:left="2159"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5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Caching and Message Queues</w:t>
            </w:r>
          </w:p>
        </w:tc>
      </w:tr>
    </w:tbl>
    <w:p>
      <w:pPr>
        <w:pStyle w:val="TextBody"/>
        <w:bidi w:val="0"/>
        <w:spacing w:before="0" w:after="0"/>
        <w:ind w:left="1727" w:right="0" w:hanging="287"/>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Redis:</w:t>
            </w:r>
            <w:r>
              <w:rPr>
                <w:rFonts w:ascii="Times New Roman;Times;Serif" w:hAnsi="Times New Roman;Times;Serif"/>
                <w:b w:val="false"/>
                <w:i w:val="false"/>
                <w:caps w:val="false"/>
                <w:smallCaps w:val="false"/>
                <w:sz w:val="20"/>
              </w:rPr>
              <w:t xml:space="preserve"> Used for caching to speed up data retrieval and as a message broker to handle asynchronous tasks, such as event processing.</w:t>
            </w:r>
          </w:p>
        </w:tc>
      </w:tr>
    </w:tbl>
    <w:p>
      <w:pPr>
        <w:pStyle w:val="TextBody"/>
        <w:bidi w:val="0"/>
        <w:spacing w:before="0" w:after="0"/>
        <w:ind w:left="1800" w:right="0" w:hanging="360"/>
        <w:jc w:val="both"/>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8"/>
        <w:gridCol w:w="170"/>
        <w:gridCol w:w="7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AWS SQS:</w:t>
            </w:r>
            <w:r>
              <w:rPr>
                <w:rFonts w:ascii="Times New Roman;Times;Serif" w:hAnsi="Times New Roman;Times;Serif"/>
                <w:b w:val="false"/>
                <w:i w:val="false"/>
                <w:caps w:val="false"/>
                <w:smallCaps w:val="false"/>
                <w:sz w:val="20"/>
              </w:rPr>
              <w:t xml:space="preserve"> Reliable message queues for task distribution and microservice communication.</w:t>
            </w:r>
          </w:p>
        </w:tc>
      </w:tr>
    </w:tbl>
    <w:p>
      <w:pPr>
        <w:pStyle w:val="TextBody"/>
        <w:bidi w:val="0"/>
        <w:spacing w:before="0" w:after="0"/>
        <w:ind w:left="180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848" w:name="ex10-33.htm"/>
      <w:bookmarkStart w:id="849" w:name="ksex1033"/>
      <w:bookmarkEnd w:id="848"/>
      <w:bookmarkEnd w:id="84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Plusevo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Lottery.com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Purchase Agreement</w:t>
      </w:r>
    </w:p>
    <w:p>
      <w:pPr>
        <w:pStyle w:val="TextBody"/>
        <w:bidi w:val="0"/>
        <w:spacing w:before="0" w:after="0"/>
        <w:ind w:left="0" w:right="0" w:hanging="0"/>
        <w:jc w:val="center"/>
        <w:rPr>
          <w:caps w:val="false"/>
          <w:smallCaps w:val="false"/>
        </w:rPr>
      </w:pPr>
      <w:r>
        <w:rPr>
          <w:caps w:val="false"/>
          <w:smallCaps w:val="false"/>
        </w:rPr>
        <w:t> </w:t>
      </w:r>
    </w:p>
    <w:tbl>
      <w:tblPr>
        <w:tblW w:w="2400" w:type="dxa"/>
        <w:jc w:val="left"/>
        <w:tblInd w:w="0" w:type="dxa"/>
        <w:tblLayout w:type="fixed"/>
        <w:tblCellMar>
          <w:top w:w="0" w:type="dxa"/>
          <w:left w:w="0" w:type="dxa"/>
          <w:bottom w:w="0" w:type="dxa"/>
          <w:right w:w="0" w:type="dxa"/>
        </w:tblCellMar>
      </w:tblPr>
      <w:tblGrid>
        <w:gridCol w:w="2265"/>
        <w:gridCol w:w="6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69"/>
                          <a:stretch>
                            <a:fillRect/>
                          </a:stretch>
                        </pic:blipFill>
                        <pic:spPr bwMode="auto">
                          <a:xfrm>
                            <a:off x="0" y="0"/>
                            <a:ext cx="1428750" cy="4191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tbl>
      <w:tblPr>
        <w:tblW w:w="5124" w:type="dxa"/>
        <w:jc w:val="left"/>
        <w:tblInd w:w="0" w:type="dxa"/>
        <w:tblLayout w:type="fixed"/>
        <w:tblCellMar>
          <w:top w:w="0" w:type="dxa"/>
          <w:left w:w="0" w:type="dxa"/>
          <w:bottom w:w="0" w:type="dxa"/>
          <w:right w:w="0" w:type="dxa"/>
        </w:tblCellMar>
      </w:tblPr>
      <w:tblGrid>
        <w:gridCol w:w="413"/>
        <w:gridCol w:w="4466"/>
        <w:gridCol w:w="245"/>
      </w:tblGrid>
      <w:tr>
        <w:trPr/>
        <w:tc>
          <w:tcPr>
            <w:tcW w:w="4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4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 and interpretation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4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4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and purchase of Sale Shares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4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4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4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4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4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44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Non-compete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44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44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4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44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4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44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Information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4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44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 and jurisdiction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487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 Company details</w:t>
            </w:r>
          </w:p>
        </w:tc>
        <w:tc>
          <w:tcPr>
            <w:tcW w:w="245" w:type="dxa"/>
            <w:tcBorders/>
            <w:shd w:fill="CCEEFF" w:val="clear"/>
            <w:vAlign w:val="center"/>
          </w:tcPr>
          <w:p>
            <w:pPr>
              <w:pStyle w:val="TableContents"/>
              <w:bidi w:val="0"/>
              <w:spacing w:before="0" w:after="283"/>
              <w:jc w:val="left"/>
              <w:rPr>
                <w:sz w:val="4"/>
                <w:szCs w:val="4"/>
              </w:rPr>
            </w:pPr>
            <w:r>
              <w:rPr>
                <w:sz w:val="4"/>
                <w:szCs w:val="4"/>
              </w:rPr>
            </w:r>
          </w:p>
        </w:tc>
      </w:tr>
      <w:tr>
        <w:trPr/>
        <w:tc>
          <w:tcPr>
            <w:tcW w:w="487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 The code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487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 Payment in Kind</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487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4 Seller deliverables and Company board meeting</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bl>
    <w:p>
      <w:pPr>
        <w:pStyle w:val="TextBody"/>
        <w:bidi w:val="0"/>
        <w:spacing w:before="0" w:after="0"/>
        <w:ind w:left="0" w:right="0" w:hanging="0"/>
        <w:jc w:val="both"/>
        <w:rPr>
          <w:caps w:val="false"/>
          <w:smallCaps w:val="false"/>
        </w:rPr>
      </w:pPr>
      <w:r>
        <w:rPr>
          <w:caps w:val="false"/>
          <w:smallCaps w:val="false"/>
        </w:rPr>
        <w:t> </w:t>
      </w:r>
    </w:p>
    <w:tbl>
      <w:tblPr>
        <w:tblW w:w="2400" w:type="dxa"/>
        <w:jc w:val="left"/>
        <w:tblInd w:w="0" w:type="dxa"/>
        <w:tblLayout w:type="fixed"/>
        <w:tblCellMar>
          <w:top w:w="0" w:type="dxa"/>
          <w:left w:w="0" w:type="dxa"/>
          <w:bottom w:w="0" w:type="dxa"/>
          <w:right w:w="0" w:type="dxa"/>
        </w:tblCellMar>
      </w:tblPr>
      <w:tblGrid>
        <w:gridCol w:w="2265"/>
        <w:gridCol w:w="6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70"/>
                          <a:stretch>
                            <a:fillRect/>
                          </a:stretch>
                        </pic:blipFill>
                        <pic:spPr bwMode="auto">
                          <a:xfrm>
                            <a:off x="0" y="0"/>
                            <a:ext cx="1428750" cy="4191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made on 12th March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PLUSEVO LTD incorporated in Cyprus number ΗΕ 467339 whose registered office is at 1 Kalymnou, Q Merito 4th Floor, Larnaca, 6037 Cyprus (the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LOTTERY.COM INC., a corporation organized and existing under the laws of the State of Delaware, and having its principal office at 20808 State Hwy. 71W, Unit B, Spicewood, Texas 78669 (the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w:t>
      </w:r>
      <w:r>
        <w:rPr>
          <w:rFonts w:ascii="Times New Roman;Times;Serif" w:hAnsi="Times New Roman;Times;Serif"/>
          <w:b/>
          <w:i w:val="false"/>
          <w:caps w:val="false"/>
          <w:smallCaps w:val="false"/>
          <w:sz w:val="20"/>
        </w:rPr>
        <w:t xml:space="preserve">Seller </w:t>
      </w:r>
      <w:r>
        <w:rPr>
          <w:rFonts w:ascii="Times New Roman;Times;Serif" w:hAnsi="Times New Roman;Times;Serif"/>
          <w:b w:val="false"/>
          <w:i w:val="false"/>
          <w:caps w:val="false"/>
          <w:smallCaps w:val="false"/>
          <w:sz w:val="20"/>
        </w:rPr>
        <w:t xml:space="preserve">and the </w:t>
      </w:r>
      <w:r>
        <w:rPr>
          <w:rFonts w:ascii="Times New Roman;Times;Serif" w:hAnsi="Times New Roman;Times;Serif"/>
          <w:b/>
          <w:i w:val="false"/>
          <w:caps w:val="false"/>
          <w:smallCaps w:val="false"/>
          <w:sz w:val="20"/>
        </w:rPr>
        <w:t xml:space="preserve">Buyer </w:t>
      </w:r>
      <w:r>
        <w:rPr>
          <w:rFonts w:ascii="Times New Roman;Times;Serif" w:hAnsi="Times New Roman;Times;Serif"/>
          <w:b w:val="false"/>
          <w:i w:val="false"/>
          <w:caps w:val="false"/>
          <w:smallCaps w:val="false"/>
          <w:sz w:val="20"/>
        </w:rPr>
        <w:t xml:space="preserve">being a </w:t>
      </w:r>
      <w:r>
        <w:rPr>
          <w:rFonts w:ascii="Times New Roman;Times;Serif" w:hAnsi="Times New Roman;Times;Serif"/>
          <w:b/>
          <w:i w:val="false"/>
          <w:caps w:val="false"/>
          <w:smallCaps w:val="false"/>
          <w:sz w:val="20"/>
        </w:rPr>
        <w:t xml:space="preserve">Party </w:t>
      </w:r>
      <w:r>
        <w:rPr>
          <w:rFonts w:ascii="Times New Roman;Times;Serif" w:hAnsi="Times New Roman;Times;Serif"/>
          <w:b w:val="false"/>
          <w:i w:val="false"/>
          <w:caps w:val="false"/>
          <w:smallCaps w:val="false"/>
          <w:sz w:val="20"/>
        </w:rPr>
        <w:t xml:space="preserve">and together the </w:t>
      </w:r>
      <w:r>
        <w:rPr>
          <w:rFonts w:ascii="Times New Roman;Times;Serif" w:hAnsi="Times New Roman;Times;Serif"/>
          <w:b/>
          <w:i w:val="false"/>
          <w:caps w:val="false"/>
          <w:smallCaps w:val="false"/>
          <w:sz w:val="20"/>
        </w:rPr>
        <w:t xml:space="preserve">Seller </w:t>
      </w:r>
      <w:r>
        <w:rPr>
          <w:rFonts w:ascii="Times New Roman;Times;Serif" w:hAnsi="Times New Roman;Times;Serif"/>
          <w:b w:val="false"/>
          <w:i w:val="false"/>
          <w:caps w:val="false"/>
          <w:smallCaps w:val="false"/>
          <w:sz w:val="20"/>
        </w:rPr>
        <w:t xml:space="preserve">and the </w:t>
      </w:r>
      <w:r>
        <w:rPr>
          <w:rFonts w:ascii="Times New Roman;Times;Serif" w:hAnsi="Times New Roman;Times;Serif"/>
          <w:b/>
          <w:i w:val="false"/>
          <w:caps w:val="false"/>
          <w:smallCaps w:val="false"/>
          <w:sz w:val="20"/>
        </w:rPr>
        <w:t xml:space="preserve">Buyer </w:t>
      </w:r>
      <w:r>
        <w:rPr>
          <w:rFonts w:ascii="Times New Roman;Times;Serif" w:hAnsi="Times New Roman;Times;Serif"/>
          <w:b w:val="false"/>
          <w:i w:val="false"/>
          <w:caps w:val="false"/>
          <w:smallCaps w:val="false"/>
          <w:sz w:val="20"/>
        </w:rPr>
        <w:t xml:space="preserve">are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 defined below) is a private company limited by shares and is incorporated in the Republic of Cyprus. Details of the Company are set out in </w:t>
            </w:r>
            <w:r>
              <w:rPr>
                <w:rFonts w:ascii="Times New Roman;Times;Serif" w:hAnsi="Times New Roman;Times;Serif"/>
                <w:b/>
                <w:i w:val="false"/>
                <w:caps w:val="false"/>
                <w:smallCaps w:val="false"/>
                <w:sz w:val="20"/>
              </w:rPr>
              <w:t>Error! Reference source not found.</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is the legal and beneficial owner of the Sale Shares (as defined below), being in aggregate the entire allotted and issued share capital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170"/>
        <w:gridCol w:w="918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has agreed to sell and the Buyer has agreed to purchase the Sale Shares on the terms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170"/>
        <w:gridCol w:w="822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have agreed that the effective date of this agreement shall be deemed to be 6 March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w:t>
      </w:r>
    </w:p>
    <w:p>
      <w:pPr>
        <w:pStyle w:val="TextBody"/>
        <w:bidi w:val="0"/>
        <w:spacing w:before="0" w:after="0"/>
        <w:ind w:left="0" w:right="0" w:hanging="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140"/>
        <w:gridCol w:w="254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5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interpretation</w:t>
            </w:r>
          </w:p>
        </w:tc>
      </w:tr>
    </w:tbl>
    <w:p>
      <w:pPr>
        <w:pStyle w:val="TextBody"/>
        <w:bidi w:val="0"/>
        <w:spacing w:before="0" w:after="0"/>
        <w:ind w:left="0" w:right="0" w:hanging="0"/>
        <w:jc w:val="both"/>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290"/>
        <w:gridCol w:w="15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70"/>
        <w:gridCol w:w="9135"/>
      </w:tblGrid>
      <w:tr>
        <w:trPr/>
        <w:tc>
          <w:tcPr>
            <w:tcW w:w="10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Business Day</w:t>
            </w:r>
          </w:p>
        </w:tc>
        <w:tc>
          <w:tcPr>
            <w:tcW w:w="9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means a day, other than a Saturday, Sunday or public holiday, on which clearing banks are open for non-automated commercial business in the City of London and </w:t>
            </w:r>
            <w:r>
              <w:rPr>
                <w:rFonts w:ascii="Times New Roman;Times;Serif" w:hAnsi="Times New Roman;Times;Serif"/>
                <w:b/>
                <w:sz w:val="20"/>
              </w:rPr>
              <w:t xml:space="preserve">Business Days </w:t>
            </w:r>
            <w:r>
              <w:rPr>
                <w:rFonts w:ascii="Times New Roman;Times;Serif" w:hAnsi="Times New Roman;Times;Serif"/>
                <w:sz w:val="20"/>
              </w:rPr>
              <w:t>means more than one of them;</w:t>
            </w:r>
          </w:p>
        </w:tc>
      </w:tr>
      <w:tr>
        <w:trPr/>
        <w:tc>
          <w:tcPr>
            <w:tcW w:w="1070" w:type="dxa"/>
            <w:tcBorders/>
            <w:vAlign w:val="center"/>
          </w:tcPr>
          <w:p>
            <w:pPr>
              <w:pStyle w:val="TableContents"/>
              <w:bidi w:val="0"/>
              <w:spacing w:before="0" w:after="283"/>
              <w:jc w:val="left"/>
              <w:rPr/>
            </w:pPr>
            <w:r>
              <w:rPr/>
              <w:t> </w:t>
            </w:r>
          </w:p>
        </w:tc>
        <w:tc>
          <w:tcPr>
            <w:tcW w:w="9135" w:type="dxa"/>
            <w:tcBorders/>
            <w:vAlign w:val="center"/>
          </w:tcPr>
          <w:p>
            <w:pPr>
              <w:pStyle w:val="TableContents"/>
              <w:bidi w:val="0"/>
              <w:spacing w:before="0" w:after="283"/>
              <w:jc w:val="both"/>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Code</w:t>
            </w:r>
          </w:p>
        </w:tc>
        <w:tc>
          <w:tcPr>
            <w:tcW w:w="9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software code described in Schedule 1;</w:t>
            </w:r>
          </w:p>
        </w:tc>
      </w:tr>
      <w:tr>
        <w:trPr/>
        <w:tc>
          <w:tcPr>
            <w:tcW w:w="1070" w:type="dxa"/>
            <w:tcBorders/>
            <w:vAlign w:val="center"/>
          </w:tcPr>
          <w:p>
            <w:pPr>
              <w:pStyle w:val="TableContents"/>
              <w:bidi w:val="0"/>
              <w:spacing w:before="0" w:after="283"/>
              <w:jc w:val="left"/>
              <w:rPr/>
            </w:pPr>
            <w:r>
              <w:rPr/>
              <w:t> </w:t>
            </w:r>
          </w:p>
        </w:tc>
        <w:tc>
          <w:tcPr>
            <w:tcW w:w="9135" w:type="dxa"/>
            <w:tcBorders/>
            <w:vAlign w:val="center"/>
          </w:tcPr>
          <w:p>
            <w:pPr>
              <w:pStyle w:val="TableContents"/>
              <w:bidi w:val="0"/>
              <w:spacing w:before="0" w:after="283"/>
              <w:jc w:val="both"/>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9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Spektrom Ltd number ΗΕ 471560 registered office 1 Kalymnou, Q Merito, 6037 Larnaca Cyprus;</w:t>
            </w:r>
          </w:p>
        </w:tc>
      </w:tr>
      <w:tr>
        <w:trPr/>
        <w:tc>
          <w:tcPr>
            <w:tcW w:w="1070" w:type="dxa"/>
            <w:tcBorders/>
            <w:vAlign w:val="center"/>
          </w:tcPr>
          <w:p>
            <w:pPr>
              <w:pStyle w:val="TableContents"/>
              <w:bidi w:val="0"/>
              <w:spacing w:before="0" w:after="283"/>
              <w:jc w:val="left"/>
              <w:rPr>
                <w:caps w:val="false"/>
                <w:smallCaps w:val="false"/>
              </w:rPr>
            </w:pPr>
            <w:r>
              <w:rPr>
                <w:caps w:val="false"/>
                <w:smallCaps w:val="false"/>
              </w:rPr>
              <w:t> </w:t>
            </w:r>
          </w:p>
        </w:tc>
        <w:tc>
          <w:tcPr>
            <w:tcW w:w="9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w:t>
            </w:r>
          </w:p>
        </w:tc>
        <w:tc>
          <w:tcPr>
            <w:tcW w:w="9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completion of the matters described in this Agreement (including the sale and purchase of the Sale Shares) by the performance by the Parties of their respective obligations in accordance with clause 4;</w:t>
            </w:r>
          </w:p>
        </w:tc>
      </w:tr>
    </w:tbl>
    <w:p>
      <w:pPr>
        <w:pStyle w:val="TextBody"/>
        <w:bidi w:val="0"/>
        <w:spacing w:before="0" w:after="0"/>
        <w:ind w:left="5033" w:right="0" w:hanging="4149"/>
        <w:jc w:val="both"/>
        <w:rPr>
          <w:caps w:val="false"/>
          <w:smallCaps w:val="false"/>
        </w:rPr>
      </w:pPr>
      <w:r>
        <w:rPr>
          <w:caps w:val="false"/>
          <w:smallCaps w:val="false"/>
        </w:rPr>
        <w:t> </w:t>
      </w:r>
    </w:p>
    <w:tbl>
      <w:tblPr>
        <w:tblW w:w="2480" w:type="dxa"/>
        <w:jc w:val="left"/>
        <w:tblInd w:w="0" w:type="dxa"/>
        <w:tblLayout w:type="fixed"/>
        <w:tblCellMar>
          <w:top w:w="0" w:type="dxa"/>
          <w:left w:w="0" w:type="dxa"/>
          <w:bottom w:w="0" w:type="dxa"/>
          <w:right w:w="0" w:type="dxa"/>
        </w:tblCellMar>
      </w:tblPr>
      <w:tblGrid>
        <w:gridCol w:w="2265"/>
        <w:gridCol w:w="14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71"/>
                          <a:stretch>
                            <a:fillRect/>
                          </a:stretch>
                        </pic:blipFill>
                        <pic:spPr bwMode="auto">
                          <a:xfrm>
                            <a:off x="0" y="0"/>
                            <a:ext cx="1428750" cy="419100"/>
                          </a:xfrm>
                          <a:prstGeom prst="rect">
                            <a:avLst/>
                          </a:prstGeom>
                        </pic:spPr>
                      </pic:pic>
                    </a:graphicData>
                  </a:graphic>
                </wp:inline>
              </w:drawing>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3"/>
        <w:gridCol w:w="8792"/>
      </w:tblGrid>
      <w:tr>
        <w:trPr/>
        <w:tc>
          <w:tcPr>
            <w:tcW w:w="141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Completion Date</w:t>
            </w:r>
          </w:p>
        </w:tc>
        <w:tc>
          <w:tcPr>
            <w:tcW w:w="87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on or before 5 business days after the Effective Date or such other time as the parties may agree;</w:t>
            </w:r>
          </w:p>
        </w:tc>
      </w:tr>
      <w:tr>
        <w:trPr/>
        <w:tc>
          <w:tcPr>
            <w:tcW w:w="1413" w:type="dxa"/>
            <w:tcBorders/>
            <w:vAlign w:val="center"/>
          </w:tcPr>
          <w:p>
            <w:pPr>
              <w:pStyle w:val="TableContents"/>
              <w:bidi w:val="0"/>
              <w:spacing w:before="0" w:after="283"/>
              <w:jc w:val="left"/>
              <w:rPr/>
            </w:pPr>
            <w:r>
              <w:rPr/>
              <w:t> </w:t>
            </w:r>
          </w:p>
        </w:tc>
        <w:tc>
          <w:tcPr>
            <w:tcW w:w="8792" w:type="dxa"/>
            <w:tcBorders/>
            <w:vAlign w:val="center"/>
          </w:tcPr>
          <w:p>
            <w:pPr>
              <w:pStyle w:val="TableContents"/>
              <w:bidi w:val="0"/>
              <w:spacing w:before="0" w:after="283"/>
              <w:jc w:val="both"/>
              <w:rPr/>
            </w:pPr>
            <w:r>
              <w:rPr/>
              <w:t> </w:t>
            </w:r>
          </w:p>
        </w:tc>
      </w:tr>
      <w:tr>
        <w:trPr/>
        <w:tc>
          <w:tcPr>
            <w:tcW w:w="141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Encumbrance</w:t>
            </w:r>
          </w:p>
        </w:tc>
        <w:tc>
          <w:tcPr>
            <w:tcW w:w="87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means any mortgage, claim, charge (fixed or floating), pledge, lien, hypothecation, guarantee, right of set-off, trust, assignment, right of first refusal, right of pre-emption, option, restriction or other encumbrance or any legal or equitable third party right or interest including any security interest of any kind or any type of preferential arrangement (or any like agreement or arrangement creating any of the same or having similar effect) and </w:t>
            </w:r>
            <w:r>
              <w:rPr>
                <w:rFonts w:ascii="Times New Roman;Times;Serif" w:hAnsi="Times New Roman;Times;Serif"/>
                <w:b/>
                <w:i w:val="false"/>
                <w:caps w:val="false"/>
                <w:smallCaps w:val="false"/>
                <w:sz w:val="20"/>
              </w:rPr>
              <w:t xml:space="preserve">Encumbrances </w:t>
            </w:r>
            <w:r>
              <w:rPr>
                <w:rFonts w:ascii="Times New Roman;Times;Serif" w:hAnsi="Times New Roman;Times;Serif"/>
                <w:b w:val="false"/>
                <w:i w:val="false"/>
                <w:caps w:val="false"/>
                <w:smallCaps w:val="false"/>
                <w:sz w:val="20"/>
              </w:rPr>
              <w:t>means more than one of them;</w:t>
            </w:r>
          </w:p>
        </w:tc>
      </w:tr>
      <w:tr>
        <w:trPr/>
        <w:tc>
          <w:tcPr>
            <w:tcW w:w="1413" w:type="dxa"/>
            <w:tcBorders/>
            <w:vAlign w:val="center"/>
          </w:tcPr>
          <w:p>
            <w:pPr>
              <w:pStyle w:val="TableContents"/>
              <w:bidi w:val="0"/>
              <w:spacing w:before="0" w:after="283"/>
              <w:jc w:val="left"/>
              <w:rPr>
                <w:caps w:val="false"/>
                <w:smallCaps w:val="false"/>
              </w:rPr>
            </w:pPr>
            <w:r>
              <w:rPr>
                <w:caps w:val="false"/>
                <w:smallCaps w:val="false"/>
              </w:rPr>
              <w:t> </w:t>
            </w:r>
          </w:p>
        </w:tc>
        <w:tc>
          <w:tcPr>
            <w:tcW w:w="87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1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Effective Date</w:t>
            </w:r>
          </w:p>
        </w:tc>
        <w:tc>
          <w:tcPr>
            <w:tcW w:w="87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 March 2025;</w:t>
            </w:r>
          </w:p>
        </w:tc>
      </w:tr>
      <w:tr>
        <w:trPr/>
        <w:tc>
          <w:tcPr>
            <w:tcW w:w="1413" w:type="dxa"/>
            <w:tcBorders/>
            <w:vAlign w:val="center"/>
          </w:tcPr>
          <w:p>
            <w:pPr>
              <w:pStyle w:val="TableContents"/>
              <w:bidi w:val="0"/>
              <w:spacing w:before="0" w:after="283"/>
              <w:jc w:val="left"/>
              <w:rPr/>
            </w:pPr>
            <w:r>
              <w:rPr/>
              <w:t> </w:t>
            </w:r>
          </w:p>
        </w:tc>
        <w:tc>
          <w:tcPr>
            <w:tcW w:w="8792" w:type="dxa"/>
            <w:tcBorders/>
            <w:vAlign w:val="center"/>
          </w:tcPr>
          <w:p>
            <w:pPr>
              <w:pStyle w:val="TableContents"/>
              <w:bidi w:val="0"/>
              <w:spacing w:before="0" w:after="283"/>
              <w:jc w:val="both"/>
              <w:rPr/>
            </w:pPr>
            <w:r>
              <w:rPr/>
              <w:t> </w:t>
            </w:r>
          </w:p>
        </w:tc>
      </w:tr>
      <w:tr>
        <w:trPr/>
        <w:tc>
          <w:tcPr>
            <w:tcW w:w="141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Sale Shares</w:t>
            </w:r>
          </w:p>
        </w:tc>
        <w:tc>
          <w:tcPr>
            <w:tcW w:w="87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the 1,000 ordinary shares of €1.00 each in the capital of the Company, being the entire allotted and issued share capital of the Company;</w:t>
            </w:r>
          </w:p>
        </w:tc>
      </w:tr>
      <w:tr>
        <w:trPr/>
        <w:tc>
          <w:tcPr>
            <w:tcW w:w="1413" w:type="dxa"/>
            <w:tcBorders/>
            <w:vAlign w:val="center"/>
          </w:tcPr>
          <w:p>
            <w:pPr>
              <w:pStyle w:val="TableContents"/>
              <w:bidi w:val="0"/>
              <w:spacing w:before="0" w:after="283"/>
              <w:jc w:val="left"/>
              <w:rPr/>
            </w:pPr>
            <w:r>
              <w:rPr/>
              <w:t> </w:t>
            </w:r>
          </w:p>
        </w:tc>
        <w:tc>
          <w:tcPr>
            <w:tcW w:w="8792" w:type="dxa"/>
            <w:tcBorders/>
            <w:vAlign w:val="center"/>
          </w:tcPr>
          <w:p>
            <w:pPr>
              <w:pStyle w:val="TableContents"/>
              <w:bidi w:val="0"/>
              <w:spacing w:before="0" w:after="283"/>
              <w:jc w:val="both"/>
              <w:rPr/>
            </w:pPr>
            <w:r>
              <w:rPr/>
              <w:t> </w:t>
            </w:r>
          </w:p>
        </w:tc>
      </w:tr>
      <w:tr>
        <w:trPr/>
        <w:tc>
          <w:tcPr>
            <w:tcW w:w="141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Seller’s Field of Operation</w:t>
            </w:r>
          </w:p>
        </w:tc>
        <w:tc>
          <w:tcPr>
            <w:tcW w:w="87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provision to businesses (but not consumers) of a Crypto Friendly Casino Technology Platform;</w:t>
            </w:r>
          </w:p>
        </w:tc>
      </w:tr>
      <w:tr>
        <w:trPr/>
        <w:tc>
          <w:tcPr>
            <w:tcW w:w="1413" w:type="dxa"/>
            <w:tcBorders/>
            <w:vAlign w:val="center"/>
          </w:tcPr>
          <w:p>
            <w:pPr>
              <w:pStyle w:val="TableContents"/>
              <w:bidi w:val="0"/>
              <w:spacing w:before="0" w:after="283"/>
              <w:jc w:val="left"/>
              <w:rPr/>
            </w:pPr>
            <w:r>
              <w:rPr/>
              <w:t> </w:t>
            </w:r>
          </w:p>
        </w:tc>
        <w:tc>
          <w:tcPr>
            <w:tcW w:w="8792" w:type="dxa"/>
            <w:tcBorders/>
            <w:vAlign w:val="center"/>
          </w:tcPr>
          <w:p>
            <w:pPr>
              <w:pStyle w:val="TableContents"/>
              <w:bidi w:val="0"/>
              <w:spacing w:before="0" w:after="283"/>
              <w:jc w:val="both"/>
              <w:rPr/>
            </w:pPr>
            <w:r>
              <w:rPr/>
              <w:t> </w:t>
            </w:r>
          </w:p>
        </w:tc>
      </w:tr>
      <w:tr>
        <w:trPr/>
        <w:tc>
          <w:tcPr>
            <w:tcW w:w="141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Territory</w:t>
            </w:r>
          </w:p>
        </w:tc>
        <w:tc>
          <w:tcPr>
            <w:tcW w:w="87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world; and</w:t>
            </w:r>
          </w:p>
        </w:tc>
      </w:tr>
      <w:tr>
        <w:trPr/>
        <w:tc>
          <w:tcPr>
            <w:tcW w:w="1413" w:type="dxa"/>
            <w:tcBorders/>
            <w:vAlign w:val="center"/>
          </w:tcPr>
          <w:p>
            <w:pPr>
              <w:pStyle w:val="TableContents"/>
              <w:bidi w:val="0"/>
              <w:spacing w:before="0" w:after="283"/>
              <w:jc w:val="left"/>
              <w:rPr/>
            </w:pPr>
            <w:r>
              <w:rPr/>
              <w:t> </w:t>
            </w:r>
          </w:p>
        </w:tc>
        <w:tc>
          <w:tcPr>
            <w:tcW w:w="8792" w:type="dxa"/>
            <w:tcBorders/>
            <w:vAlign w:val="center"/>
          </w:tcPr>
          <w:p>
            <w:pPr>
              <w:pStyle w:val="TableContents"/>
              <w:bidi w:val="0"/>
              <w:spacing w:before="0" w:after="283"/>
              <w:jc w:val="both"/>
              <w:rPr/>
            </w:pPr>
            <w:r>
              <w:rPr/>
              <w:t> </w:t>
            </w:r>
          </w:p>
        </w:tc>
      </w:tr>
      <w:tr>
        <w:trPr/>
        <w:tc>
          <w:tcPr>
            <w:tcW w:w="141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VWAP</w:t>
            </w:r>
          </w:p>
        </w:tc>
        <w:tc>
          <w:tcPr>
            <w:tcW w:w="87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Volume Weighted Average Price.</w:t>
            </w:r>
          </w:p>
        </w:tc>
      </w:tr>
    </w:tbl>
    <w:p>
      <w:pPr>
        <w:pStyle w:val="TextBody"/>
        <w:bidi w:val="0"/>
        <w:spacing w:before="0" w:after="0"/>
        <w:ind w:left="0" w:right="0" w:hanging="0"/>
        <w:jc w:val="both"/>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290"/>
        <w:gridCol w:w="46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4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unless the context otherwise requires:</w:t>
            </w:r>
          </w:p>
        </w:tc>
      </w:tr>
    </w:tbl>
    <w:p>
      <w:pPr>
        <w:pStyle w:val="TextBody"/>
        <w:bidi w:val="0"/>
        <w:spacing w:before="0" w:after="0"/>
        <w:ind w:left="0" w:right="0" w:hanging="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425"/>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gender includes the other genders;</w:t>
            </w:r>
          </w:p>
        </w:tc>
      </w:tr>
    </w:tbl>
    <w:p>
      <w:pPr>
        <w:pStyle w:val="TextBody"/>
        <w:bidi w:val="0"/>
        <w:spacing w:before="0" w:after="0"/>
        <w:ind w:left="0" w:right="0" w:hanging="0"/>
        <w:jc w:val="both"/>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38"/>
        <w:gridCol w:w="425"/>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3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singular includes the plural and vice versa;</w:t>
            </w:r>
          </w:p>
        </w:tc>
      </w:tr>
    </w:tbl>
    <w:p>
      <w:pPr>
        <w:pStyle w:val="TextBody"/>
        <w:bidi w:val="0"/>
        <w:spacing w:before="0" w:after="0"/>
        <w:ind w:left="0" w:right="0" w:hanging="0"/>
        <w:jc w:val="both"/>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425"/>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this Agreement include its Schedules;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clauses, sub-clauses and/or Schedules are to clauses and/or sub-clauses of and Schedules to this Agreement and references in a Schedule or part of a Schedule are to a paragraph of that Schedule or that part of that Schedule;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persons include individuals, unincorporated bodies and partnerships (in each case whether or not having a separate legal personality), bodies corporate, governments, government entities, companies and corporations and any of their successors, permitted transferees or permitted assignees;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legislation include any amendment, modification, consolidation or re-enactment of it before the date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‘law’ include any legislation, any common or customary law, constitution, decree, judgment, order, ordinance, treaty or other legislative measure in any jurisdiction and any directive, request, requirement, guidance or guideline (in each case, whether or not having the force of law but, if not having the force of law, compliance with which is in accordance with the general practice of persons to whom the directive, request, requirement, guidance or guideline is addressed);</w:t>
            </w:r>
          </w:p>
        </w:tc>
      </w:tr>
    </w:tbl>
    <w:p>
      <w:pPr>
        <w:pStyle w:val="TextBody"/>
        <w:bidi w:val="0"/>
        <w:spacing w:before="0" w:after="0"/>
        <w:ind w:left="0" w:right="0" w:hanging="0"/>
        <w:jc w:val="both"/>
        <w:rPr>
          <w:caps w:val="false"/>
          <w:smallCaps w:val="false"/>
        </w:rPr>
      </w:pPr>
      <w:r>
        <w:rPr>
          <w:caps w:val="false"/>
          <w:smallCaps w:val="false"/>
        </w:rPr>
        <w:t> </w:t>
      </w:r>
    </w:p>
    <w:tbl>
      <w:tblPr>
        <w:tblW w:w="2480" w:type="dxa"/>
        <w:jc w:val="left"/>
        <w:tblInd w:w="0" w:type="dxa"/>
        <w:tblLayout w:type="fixed"/>
        <w:tblCellMar>
          <w:top w:w="0" w:type="dxa"/>
          <w:left w:w="0" w:type="dxa"/>
          <w:bottom w:w="0" w:type="dxa"/>
          <w:right w:w="0" w:type="dxa"/>
        </w:tblCellMar>
      </w:tblPr>
      <w:tblGrid>
        <w:gridCol w:w="2265"/>
        <w:gridCol w:w="14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72"/>
                          <a:stretch>
                            <a:fillRect/>
                          </a:stretch>
                        </pic:blipFill>
                        <pic:spPr bwMode="auto">
                          <a:xfrm>
                            <a:off x="0" y="0"/>
                            <a:ext cx="1428750" cy="419100"/>
                          </a:xfrm>
                          <a:prstGeom prst="rect">
                            <a:avLst/>
                          </a:prstGeom>
                        </pic:spPr>
                      </pic:pic>
                    </a:graphicData>
                  </a:graphic>
                </wp:inline>
              </w:drawing>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this Agreement, any specified clause in this Agreement, any other document or any specified clause in any other document are to this Agreement, that document or the specified clause as in force for the time being and as amended, varied, novated or supplemented from time to time;</w:t>
            </w:r>
          </w:p>
        </w:tc>
      </w:tr>
    </w:tbl>
    <w:p>
      <w:pPr>
        <w:pStyle w:val="TextBody"/>
        <w:bidi w:val="0"/>
        <w:spacing w:before="0" w:after="0"/>
        <w:ind w:left="0" w:right="0" w:hanging="0"/>
        <w:jc w:val="both"/>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425"/>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time shall mean London time, unless otherwise stated;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English legal term for any legal document, action, remedy, judicial proceeding, court, official, status, doctrine or any other legal concept shall, in relation to any jurisdiction other than England and Wales, be deemed to include the term which most nearly approximates in that jurisdiction to the English legal term.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provisions of the Schedules conflict with any of the other provisions of this Agreement that are not contained in the Schedules, the provisions of this Agreement that are not contained in the Schedules shall take precedence.</w:t>
            </w:r>
          </w:p>
        </w:tc>
      </w:tr>
    </w:tbl>
    <w:p>
      <w:pPr>
        <w:pStyle w:val="TextBody"/>
        <w:bidi w:val="0"/>
        <w:spacing w:before="0" w:after="0"/>
        <w:ind w:left="0" w:right="0" w:hanging="0"/>
        <w:jc w:val="both"/>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140"/>
        <w:gridCol w:w="279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7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and purchase of Sale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deemed to take effect on the Effective Date and on the Completion Date, the Seller shall sell, or procure the sale of, the Sale Shares to the Buyer free from Encumbrances and third-party claims with full title guarantee and the Buyer shall purchase from the Seller the Sale Shares together with all rights and benefits attached or accruing to them as at Completion. The Buyer shall be entitled to all rights and advantages accruing to the Sale Shares including dividends, distributions and any return of capital declared, paid or made in respect of the Sale Shares, on or after the Effective Date.</w:t>
      </w:r>
    </w:p>
    <w:p>
      <w:pPr>
        <w:pStyle w:val="TextBody"/>
        <w:bidi w:val="0"/>
        <w:spacing w:before="0" w:after="0"/>
        <w:ind w:left="0" w:right="0" w:hanging="0"/>
        <w:jc w:val="both"/>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140"/>
        <w:gridCol w:w="123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2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for the Sale Shares shall be One and a half million US dollars ($1,500,000) to be satisfied by the Buyer in restricted stock units of common shares in the Buyer (the “Payment-In-Kind”) fixed at Three Dollars USD ($3.00) per share (the “Fixed Price”) in accordance with Schedule 2 to the Seller.</w:t>
      </w:r>
    </w:p>
    <w:p>
      <w:pPr>
        <w:pStyle w:val="TextBody"/>
        <w:bidi w:val="0"/>
        <w:spacing w:before="0" w:after="0"/>
        <w:ind w:left="0" w:right="0" w:hanging="0"/>
        <w:jc w:val="both"/>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140"/>
        <w:gridCol w:w="102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0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shall take place on the Completion Date at New Media Law LLP of Tapestry Building, 51-52 Frith Street, London W1D 4SH on the Completion Date, or at such other place and time as the Parties may agree. At Completion, the matters set out in clauses 4.2 and 4.3 shall be transacted.</w:t>
            </w:r>
          </w:p>
        </w:tc>
      </w:tr>
    </w:tbl>
    <w:p>
      <w:pPr>
        <w:pStyle w:val="TextBody"/>
        <w:bidi w:val="0"/>
        <w:spacing w:before="0" w:after="0"/>
        <w:ind w:left="0" w:right="0" w:hanging="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290"/>
        <w:gridCol w:w="26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2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Completion, the Seller shall:</w:t>
            </w:r>
          </w:p>
        </w:tc>
      </w:tr>
    </w:tbl>
    <w:p>
      <w:pPr>
        <w:pStyle w:val="TextBody"/>
        <w:bidi w:val="0"/>
        <w:spacing w:before="0" w:after="0"/>
        <w:ind w:left="0" w:right="0" w:hanging="0"/>
        <w:jc w:val="both"/>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425"/>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9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procure the delivery of, or make available to the Buyer, the documents set out in Schedule 3, Part A;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procure that the matters set out in Schedule 3, shall be transacted and shall deliver to the Buyer duly signed minutes of all such resolutions together with all duly completed forms that need to be filed with the Registrar of Companies.</w:t>
            </w:r>
          </w:p>
        </w:tc>
      </w:tr>
    </w:tbl>
    <w:p>
      <w:pPr>
        <w:pStyle w:val="TextBody"/>
        <w:bidi w:val="0"/>
        <w:spacing w:before="0" w:after="0"/>
        <w:ind w:left="720" w:right="0" w:hanging="720"/>
        <w:jc w:val="both"/>
        <w:rPr>
          <w:caps w:val="false"/>
          <w:smallCaps w:val="false"/>
        </w:rPr>
      </w:pPr>
      <w:r>
        <w:rPr>
          <w:caps w:val="false"/>
          <w:smallCaps w:val="false"/>
        </w:rPr>
        <w:t> </w:t>
      </w:r>
    </w:p>
    <w:tbl>
      <w:tblPr>
        <w:tblW w:w="2480" w:type="dxa"/>
        <w:jc w:val="left"/>
        <w:tblInd w:w="0" w:type="dxa"/>
        <w:tblLayout w:type="fixed"/>
        <w:tblCellMar>
          <w:top w:w="0" w:type="dxa"/>
          <w:left w:w="0" w:type="dxa"/>
          <w:bottom w:w="0" w:type="dxa"/>
          <w:right w:w="0" w:type="dxa"/>
        </w:tblCellMar>
      </w:tblPr>
      <w:tblGrid>
        <w:gridCol w:w="2265"/>
        <w:gridCol w:w="14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73"/>
                          <a:stretch>
                            <a:fillRect/>
                          </a:stretch>
                        </pic:blipFill>
                        <pic:spPr bwMode="auto">
                          <a:xfrm>
                            <a:off x="0" y="0"/>
                            <a:ext cx="1428750" cy="419100"/>
                          </a:xfrm>
                          <a:prstGeom prst="rect">
                            <a:avLst/>
                          </a:prstGeom>
                        </pic:spPr>
                      </pic:pic>
                    </a:graphicData>
                  </a:graphic>
                </wp:inline>
              </w:drawing>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Seller materially performing its obligations in accordance with this clause 4, at Completion, the Buyer shall satisfy the consideration of $1,500,000 in the manner set out in Schedule 2.</w:t>
            </w:r>
          </w:p>
        </w:tc>
      </w:tr>
    </w:tbl>
    <w:p>
      <w:pPr>
        <w:pStyle w:val="TextBody"/>
        <w:bidi w:val="0"/>
        <w:spacing w:before="0" w:after="0"/>
        <w:ind w:left="0" w:right="0" w:hanging="0"/>
        <w:jc w:val="both"/>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140"/>
        <w:gridCol w:w="114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1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Non-compete</w:t>
            </w:r>
          </w:p>
        </w:tc>
      </w:tr>
    </w:tbl>
    <w:p>
      <w:pPr>
        <w:pStyle w:val="TextBody"/>
        <w:bidi w:val="0"/>
        <w:spacing w:before="0" w:after="0"/>
        <w:ind w:left="0" w:right="0" w:hanging="0"/>
        <w:jc w:val="both"/>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290"/>
        <w:gridCol w:w="74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7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shall not and shall procure that none of its Associates shall directly or indirectly: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compete with the Seller in the Seller’s Field of Operation nor shall they offer services similar to the services offered by the Seller in the Seller’s Field of Operations in the Territory;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deal with, market or sell any services which compete with the Seller in the Seller’s Field of Operation in the Territory.</w:t>
            </w:r>
          </w:p>
        </w:tc>
      </w:tr>
    </w:tbl>
    <w:p>
      <w:pPr>
        <w:pStyle w:val="TextBody"/>
        <w:bidi w:val="0"/>
        <w:spacing w:before="0" w:after="0"/>
        <w:ind w:left="0" w:right="0" w:hanging="0"/>
        <w:jc w:val="both"/>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140"/>
        <w:gridCol w:w="101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0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Warranties</w:t>
            </w:r>
          </w:p>
        </w:tc>
      </w:tr>
    </w:tbl>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290"/>
        <w:gridCol w:w="42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4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warrants and represents to the Buyer that:</w:t>
            </w:r>
          </w:p>
        </w:tc>
      </w:tr>
    </w:tbl>
    <w:p>
      <w:pPr>
        <w:pStyle w:val="TextBody"/>
        <w:bidi w:val="0"/>
        <w:spacing w:before="0" w:after="0"/>
        <w:ind w:left="0" w:right="0" w:hanging="0"/>
        <w:jc w:val="both"/>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425"/>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sole legal and beneficial owner and the sole registered holder of the Sale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entitled to sell, or procure the sale of, and transfer the full legal and beneficial interest in the Sale Shares to the Buyer on the terms of this Agreement, without obtaining the consent or approval of any third party;</w:t>
            </w:r>
          </w:p>
        </w:tc>
      </w:tr>
    </w:tbl>
    <w:p>
      <w:pPr>
        <w:pStyle w:val="TextBody"/>
        <w:bidi w:val="0"/>
        <w:spacing w:before="0" w:after="0"/>
        <w:ind w:left="0" w:right="0" w:hanging="0"/>
        <w:jc w:val="both"/>
        <w:rPr>
          <w:caps w:val="false"/>
          <w:smallCaps w:val="false"/>
        </w:rPr>
      </w:pPr>
      <w:r>
        <w:rPr>
          <w:caps w:val="false"/>
          <w:smallCaps w:val="false"/>
        </w:rPr>
        <w:t> </w:t>
      </w:r>
    </w:p>
    <w:tbl>
      <w:tblPr>
        <w:tblW w:w="7353" w:type="dxa"/>
        <w:jc w:val="left"/>
        <w:tblInd w:w="0" w:type="dxa"/>
        <w:tblLayout w:type="fixed"/>
        <w:tblCellMar>
          <w:top w:w="0" w:type="dxa"/>
          <w:left w:w="0" w:type="dxa"/>
          <w:bottom w:w="0" w:type="dxa"/>
          <w:right w:w="0" w:type="dxa"/>
        </w:tblCellMar>
      </w:tblPr>
      <w:tblGrid>
        <w:gridCol w:w="38"/>
        <w:gridCol w:w="425"/>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w:t>
            </w:r>
          </w:p>
        </w:tc>
        <w:tc>
          <w:tcPr>
            <w:tcW w:w="6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Shares comprise the entire issued and allotted share capital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in the capital of the Company have at any time been issued, and no transfers of shares in the capital of the Company have been registered, otherwise than in accordance with the memorandum and articles of association of the Company for the time being, the Companies Law (Cap 113) and further all necessary consents and approvals have been obtained for each issue and transfer of such shares;</w:t>
            </w:r>
          </w:p>
        </w:tc>
      </w:tr>
    </w:tbl>
    <w:p>
      <w:pPr>
        <w:pStyle w:val="TextBody"/>
        <w:bidi w:val="0"/>
        <w:spacing w:before="0" w:after="0"/>
        <w:ind w:left="0" w:right="0" w:hanging="0"/>
        <w:jc w:val="both"/>
        <w:rPr>
          <w:caps w:val="false"/>
          <w:smallCaps w:val="false"/>
        </w:rPr>
      </w:pPr>
      <w:r>
        <w:rPr>
          <w:caps w:val="false"/>
          <w:smallCaps w:val="false"/>
        </w:rPr>
        <w:t> </w:t>
      </w:r>
    </w:p>
    <w:tbl>
      <w:tblPr>
        <w:tblW w:w="7698" w:type="dxa"/>
        <w:jc w:val="left"/>
        <w:tblInd w:w="0" w:type="dxa"/>
        <w:tblLayout w:type="fixed"/>
        <w:tblCellMar>
          <w:top w:w="0" w:type="dxa"/>
          <w:left w:w="0" w:type="dxa"/>
          <w:bottom w:w="0" w:type="dxa"/>
          <w:right w:w="0" w:type="dxa"/>
        </w:tblCellMar>
      </w:tblPr>
      <w:tblGrid>
        <w:gridCol w:w="38"/>
        <w:gridCol w:w="425"/>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Shares are fully paid or credited as fully paid and were not allotted at a discount;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Encumbrance on, over or affecting the Sale Shares and no person has any conditional or absolute option, right of pre-emption or conversion, right to put, security interest over, right to acquire and/or the right to call for the transfer, allotment or issue of any share or loan capital of the Company or any right or interest therein and there is no agreement or other arrangement to give or create any of the foregoing and/or an Encumbrance and no person has claimed to be entitled to the same;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given any guarantees of the liabilities of any person or undertaken obligations in the nature of guarantees (by whatever name called);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liability whatsoever (whether legally binding or not) to make any payment to any third parties other than the outstanding commitment reflected in the provided management accounts to the original beneficial owners of the Company, of which will be waived. It is understood that following completion and execution of this agreement, the Company will be delivered free from any debts.</w:t>
            </w:r>
          </w:p>
        </w:tc>
      </w:tr>
    </w:tbl>
    <w:p>
      <w:pPr>
        <w:pStyle w:val="TextBody"/>
        <w:bidi w:val="0"/>
        <w:spacing w:before="0" w:after="0"/>
        <w:ind w:left="1605" w:right="0" w:hanging="720"/>
        <w:jc w:val="both"/>
        <w:rPr>
          <w:caps w:val="false"/>
          <w:smallCaps w:val="false"/>
        </w:rPr>
      </w:pPr>
      <w:r>
        <w:rPr>
          <w:caps w:val="false"/>
          <w:smallCaps w:val="false"/>
        </w:rPr>
        <w:t> </w:t>
      </w:r>
    </w:p>
    <w:tbl>
      <w:tblPr>
        <w:tblW w:w="2480" w:type="dxa"/>
        <w:jc w:val="left"/>
        <w:tblInd w:w="0" w:type="dxa"/>
        <w:tblLayout w:type="fixed"/>
        <w:tblCellMar>
          <w:top w:w="0" w:type="dxa"/>
          <w:left w:w="0" w:type="dxa"/>
          <w:bottom w:w="0" w:type="dxa"/>
          <w:right w:w="0" w:type="dxa"/>
        </w:tblCellMar>
      </w:tblPr>
      <w:tblGrid>
        <w:gridCol w:w="2265"/>
        <w:gridCol w:w="14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74"/>
                          <a:stretch>
                            <a:fillRect/>
                          </a:stretch>
                        </pic:blipFill>
                        <pic:spPr bwMode="auto">
                          <a:xfrm>
                            <a:off x="0" y="0"/>
                            <a:ext cx="1428750" cy="419100"/>
                          </a:xfrm>
                          <a:prstGeom prst="rect">
                            <a:avLst/>
                          </a:prstGeom>
                        </pic:spPr>
                      </pic:pic>
                    </a:graphicData>
                  </a:graphic>
                </wp:inline>
              </w:drawing>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all the rights over the Code granted to the Company or its predecessors in title are set out in Schedule 1, including its respective restrictions as detailed in Section 7 below.</w:t>
            </w:r>
          </w:p>
        </w:tc>
      </w:tr>
    </w:tbl>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290"/>
        <w:gridCol w:w="42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4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warrants and represents to the Seller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has the full corporate power and authority to enter into this Agreement and to perform its obligations hereunder. They are no under any liquidation process, and are in good standing.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of this Agreement by the Buyer have been duly authorized by all necessary corporate action and do not violate any applicable law, regulation, or its constitutional documents.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claims, proceedings, or investigations pending or threatened against the Buyer that would adversely affect its ability to perform its obligations under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Shares and its assets are acquired on an “AS-IS” basis, and expressly disclaims any reliance upon any representations, warranties, or statements made by the Seller or its representatives, except as expressly set forth in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acknowledges and agrees that it has conducted its own independent due diligence checks and analysis with respect to the Company and its assets, liabilities, financial condition, operations, and any other matters deemed relevant by the Buyer. The Buyer further declares that is not relying upon any statement or representation (whether oral or written, express or implied) made by the Seller in relation to the Company and its assets except as expressly set forth in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agrees to indemnify and hold harmless the Seller against any losses, liabilities, or claims arising from the Buyer’s breach of its warranties and obligations under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clause 6.1, the Seller gives no warranties hereunder in respect of the Sale Shares or the Company and it is agreed that all warranties implied by law in respect of the Sale Shares shall be excluded so far as permitted by applicable law.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represents and warrants to the Seller that the Buyer shall provide at least $20,000 per month commencing on the Completion Date to cover the cost of a dedicated technical resource team for an indefinite period whilst the LTRYINT tech/platform is operational and being utilised by the Buyer for international activities including any company sites or brands for the purpose. The initial team, required to manage and maintain the platform will comprise of one front end developer, one backend developer, one account/content manager, one quality assurance manager and one fractional CTO.</w:t>
            </w:r>
          </w:p>
        </w:tc>
      </w:tr>
    </w:tbl>
    <w:p>
      <w:pPr>
        <w:pStyle w:val="TextBody"/>
        <w:bidi w:val="0"/>
        <w:spacing w:before="0" w:after="0"/>
        <w:ind w:left="0" w:right="0" w:hanging="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40"/>
        <w:gridCol w:w="255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5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 owned by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the ownership of software ‘LTRYINT’, which is a replicated version of an existing intellectual property. For the avoidance of doubt ‘LTRYINT’ is only a copy of the technology and does not constitute the original or sole version of the software.</w:t>
            </w:r>
          </w:p>
        </w:tc>
      </w:tr>
    </w:tbl>
    <w:p>
      <w:pPr>
        <w:pStyle w:val="TextBody"/>
        <w:bidi w:val="0"/>
        <w:spacing w:before="0" w:after="0"/>
        <w:ind w:left="0" w:right="0" w:hanging="0"/>
        <w:jc w:val="both"/>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290"/>
        <w:gridCol w:w="25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‘LTRYINT’</w:t>
            </w:r>
          </w:p>
        </w:tc>
      </w:tr>
    </w:tbl>
    <w:p>
      <w:pPr>
        <w:pStyle w:val="TextBody"/>
        <w:bidi w:val="0"/>
        <w:spacing w:before="0" w:after="0"/>
        <w:ind w:left="1605" w:right="0" w:hanging="720"/>
        <w:jc w:val="both"/>
        <w:rPr>
          <w:caps w:val="false"/>
          <w:smallCaps w:val="false"/>
        </w:rPr>
      </w:pPr>
      <w:r>
        <w:rPr>
          <w:caps w:val="false"/>
          <w:smallCaps w:val="false"/>
        </w:rPr>
        <w:t> </w:t>
      </w:r>
    </w:p>
    <w:tbl>
      <w:tblPr>
        <w:tblW w:w="2480" w:type="dxa"/>
        <w:jc w:val="left"/>
        <w:tblInd w:w="0" w:type="dxa"/>
        <w:tblLayout w:type="fixed"/>
        <w:tblCellMar>
          <w:top w:w="0" w:type="dxa"/>
          <w:left w:w="0" w:type="dxa"/>
          <w:bottom w:w="0" w:type="dxa"/>
          <w:right w:w="0" w:type="dxa"/>
        </w:tblCellMar>
      </w:tblPr>
      <w:tblGrid>
        <w:gridCol w:w="2265"/>
        <w:gridCol w:w="14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75"/>
                          <a:stretch>
                            <a:fillRect/>
                          </a:stretch>
                        </pic:blipFill>
                        <pic:spPr bwMode="auto">
                          <a:xfrm>
                            <a:off x="0" y="0"/>
                            <a:ext cx="1428750" cy="419100"/>
                          </a:xfrm>
                          <a:prstGeom prst="rect">
                            <a:avLst/>
                          </a:prstGeom>
                        </pic:spPr>
                      </pic:pic>
                    </a:graphicData>
                  </a:graphic>
                </wp:inline>
              </w:drawing>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‘LTRYINT’ is strictly limited to the B2C market, and all activities involving ‘LTRYINT’ shall be restricted to B2C purposes only.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can use ‘LTRYINT’ for any B2C brand or business operated directly by them, either individually or jointly, including any B2C businesses they may establish or acquire in the future, provided such businesses remain under their ownership and control.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any B2C business directly owned and controlled by them) shall have the right to modify, amend, upgrade, or adapt ‘LTRYINT’ as necessary for their own internal use within the B2C market only.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the right to sublicense or transfer ‘LTRYINT’ to any business, provided that such entities use ‘LTRYINT’ solely for B2C purposes in line with the IP ASSIGNMENT AND SALE AGREEMENT dated 26th February 2025, mentioned in Schedule 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allowed to sell ‘LTRYINT’ to any entity. If sold, the new owner shall be bound by the same rights and restrictions and limitations as outlined in the IP ASSIGNMENT AND SALE AGREEMENT dated 26th February 2025, mentioned in Schedule 1 and such sale does not extend or alter the scope of use beyond the B2C market.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such sale or transfer, the new owner shall be entitled to use ‘LTRYINT’ within its own business activities, but only within the B2C market, and subject to the same rights, restrictions, and limitations set out in the IP ASSIGNMENT AND SALE AGREEMENT dated 26th February 2025, mentioned in Schedule 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nothing in the present agreement shall be construed as transferring ownership of the original source code, The Company has a copy of the source code which is named ‘LTRYINT’, which has restrictions to be used solely for the B2C market.</w:t>
            </w:r>
          </w:p>
        </w:tc>
      </w:tr>
    </w:tbl>
    <w:p>
      <w:pPr>
        <w:pStyle w:val="TextBody"/>
        <w:bidi w:val="0"/>
        <w:spacing w:before="0" w:after="0"/>
        <w:ind w:left="0" w:right="0" w:hanging="0"/>
        <w:jc w:val="both"/>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140"/>
        <w:gridCol w:w="123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2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tc>
      </w:tr>
    </w:tbl>
    <w:p>
      <w:pPr>
        <w:pStyle w:val="TextBody"/>
        <w:bidi w:val="0"/>
        <w:spacing w:before="0" w:after="0"/>
        <w:ind w:left="0" w:right="0" w:hanging="0"/>
        <w:jc w:val="both"/>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290"/>
        <w:gridCol w:w="86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w:t>
            </w:r>
          </w:p>
        </w:tc>
        <w:tc>
          <w:tcPr>
            <w:tcW w:w="8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amendment or variation of this Agreement shall be valid or effective unless made in writing and signed by or on behalf of the Seller and the Buyer or by their authorised representatives.</w:t>
      </w:r>
    </w:p>
    <w:p>
      <w:pPr>
        <w:pStyle w:val="TextBody"/>
        <w:bidi w:val="0"/>
        <w:spacing w:before="0" w:after="0"/>
        <w:ind w:left="720" w:right="0" w:hanging="720"/>
        <w:jc w:val="both"/>
        <w:rPr>
          <w:caps w:val="false"/>
          <w:smallCaps w:val="false"/>
        </w:rPr>
      </w:pPr>
      <w:r>
        <w:rPr>
          <w:caps w:val="false"/>
          <w:smallCaps w:val="false"/>
        </w:rPr>
        <w:t> </w:t>
      </w:r>
    </w:p>
    <w:tbl>
      <w:tblPr>
        <w:tblW w:w="2480" w:type="dxa"/>
        <w:jc w:val="left"/>
        <w:tblInd w:w="0" w:type="dxa"/>
        <w:tblLayout w:type="fixed"/>
        <w:tblCellMar>
          <w:top w:w="0" w:type="dxa"/>
          <w:left w:w="0" w:type="dxa"/>
          <w:bottom w:w="0" w:type="dxa"/>
          <w:right w:w="0" w:type="dxa"/>
        </w:tblCellMar>
      </w:tblPr>
      <w:tblGrid>
        <w:gridCol w:w="2265"/>
        <w:gridCol w:w="14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76"/>
                          <a:stretch>
                            <a:fillRect/>
                          </a:stretch>
                        </pic:blipFill>
                        <pic:spPr bwMode="auto">
                          <a:xfrm>
                            <a:off x="0" y="0"/>
                            <a:ext cx="1428750" cy="419100"/>
                          </a:xfrm>
                          <a:prstGeom prst="rect">
                            <a:avLst/>
                          </a:prstGeom>
                        </pic:spPr>
                      </pic:pic>
                    </a:graphicData>
                  </a:graphic>
                </wp:inline>
              </w:drawing>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290"/>
        <w:gridCol w:w="20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w:t>
            </w:r>
          </w:p>
        </w:tc>
        <w:tc>
          <w:tcPr>
            <w:tcW w:w="2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 of Parties: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not be deemed to be partners or joint venturers with each other nor shall either of them be deemed to be an agent, representative, trustee or fiduciary of the other. Neither Party shall have any authority to bind the other to any agreement.</w:t>
      </w:r>
    </w:p>
    <w:p>
      <w:pPr>
        <w:pStyle w:val="TextBody"/>
        <w:bidi w:val="0"/>
        <w:spacing w:before="0" w:after="0"/>
        <w:ind w:left="0" w:right="0" w:hanging="0"/>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290"/>
        <w:gridCol w:w="16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w:t>
            </w:r>
          </w:p>
        </w:tc>
        <w:tc>
          <w:tcPr>
            <w:tcW w:w="16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be responsible for its own fees and expenses incurred in connection with this Agreement.</w:t>
      </w:r>
    </w:p>
    <w:p>
      <w:pPr>
        <w:pStyle w:val="TextBody"/>
        <w:bidi w:val="0"/>
        <w:spacing w:before="0" w:after="0"/>
        <w:ind w:left="0" w:right="0" w:hanging="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90"/>
        <w:gridCol w:w="14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w:t>
            </w:r>
          </w:p>
        </w:tc>
        <w:tc>
          <w:tcPr>
            <w:tcW w:w="14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Announcements.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may be required by Statute or regulation, no announcement shall be made regarding a pending or completed transaction or agreement between the Parties without the prior written consent of other non-announcing party such consent not to be unreasonably withheld or delayed or conditioned.</w:t>
      </w:r>
    </w:p>
    <w:p>
      <w:pPr>
        <w:pStyle w:val="TextBody"/>
        <w:bidi w:val="0"/>
        <w:spacing w:before="0" w:after="0"/>
        <w:ind w:left="0" w:right="0" w:hanging="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290"/>
        <w:gridCol w:w="15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w:t>
            </w:r>
          </w:p>
        </w:tc>
        <w:tc>
          <w:tcPr>
            <w:tcW w:w="15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assurance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(at its own cost) shall, and shall use its reasonable endeavours to procure that any necessary third parties shall, execute and deliver to the Parties such other instruments and documents (including deeds) and do all such further things as may be reasonably requested by the Buyer to carry out, evidence and give effect to the provisions of and the matters contemplated by this Agreement.</w:t>
      </w:r>
    </w:p>
    <w:p>
      <w:pPr>
        <w:pStyle w:val="TextBody"/>
        <w:bidi w:val="0"/>
        <w:spacing w:before="0" w:after="0"/>
        <w:ind w:left="0" w:right="0" w:hanging="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90"/>
        <w:gridCol w:w="179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w:t>
            </w:r>
          </w:p>
        </w:tc>
        <w:tc>
          <w:tcPr>
            <w:tcW w:w="17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Anti-Disparagement.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Party will disparage, derogate, undermine, embarrass or otherwise impair the reputation, goodwill or commercial interests of the other Party or any of its executive officers, directors, partners or control persons, or portray the other Party or any of its executive officers, directors, partners and control persons, in a false, competitively adverse or poor light.</w:t>
      </w:r>
    </w:p>
    <w:p>
      <w:pPr>
        <w:pStyle w:val="TextBody"/>
        <w:bidi w:val="0"/>
        <w:spacing w:before="0" w:after="0"/>
        <w:ind w:left="0" w:right="0" w:hanging="0"/>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290"/>
        <w:gridCol w:w="152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w:t>
            </w:r>
          </w:p>
        </w:tc>
        <w:tc>
          <w:tcPr>
            <w:tcW w:w="15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Entire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constitutes the entire agreement and understanding between the Parties relating to the matters contemplated by this Agreement and supersedes all previous agreements (if any and whether in writing or not) between the Parties in relation to such matters.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acknowledges and agrees that, except as otherwise expressly provided for in this Agreement, it is not entering into this Agreement on the basis of, and is not relying on and has not relied on, any statement, representation, warranty or other provision (in any case whether oral, written, expressed or implied) made, given, or agreed to by any person (whether a party to this Agreement or not) in relation to the subject matter of this Agreement, provided that nothing in this clause shall exclude the Seller from liability for fraudulent misrepresentation.</w:t>
            </w:r>
          </w:p>
        </w:tc>
      </w:tr>
    </w:tbl>
    <w:p>
      <w:pPr>
        <w:pStyle w:val="TextBody"/>
        <w:bidi w:val="0"/>
        <w:spacing w:before="0" w:after="0"/>
        <w:ind w:left="0" w:right="0" w:hanging="0"/>
        <w:jc w:val="both"/>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290"/>
        <w:gridCol w:w="116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w:t>
            </w:r>
          </w:p>
        </w:tc>
        <w:tc>
          <w:tcPr>
            <w:tcW w:w="11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signed in any number of counterparts and by the Parties on separate counterparts, each of which, when executed and delivered by a Party, shall be an original, and such counterparts taken together shall constitute one and the same Agreement.</w:t>
      </w:r>
    </w:p>
    <w:p>
      <w:pPr>
        <w:pStyle w:val="TextBody"/>
        <w:bidi w:val="0"/>
        <w:spacing w:before="0" w:after="0"/>
        <w:ind w:left="720" w:right="0" w:hanging="720"/>
        <w:jc w:val="both"/>
        <w:rPr>
          <w:caps w:val="false"/>
          <w:smallCaps w:val="false"/>
        </w:rPr>
      </w:pPr>
      <w:r>
        <w:rPr>
          <w:caps w:val="false"/>
          <w:smallCaps w:val="false"/>
        </w:rPr>
        <w:t> </w:t>
      </w:r>
    </w:p>
    <w:tbl>
      <w:tblPr>
        <w:tblW w:w="2480" w:type="dxa"/>
        <w:jc w:val="left"/>
        <w:tblInd w:w="0" w:type="dxa"/>
        <w:tblLayout w:type="fixed"/>
        <w:tblCellMar>
          <w:top w:w="0" w:type="dxa"/>
          <w:left w:w="0" w:type="dxa"/>
          <w:bottom w:w="0" w:type="dxa"/>
          <w:right w:w="0" w:type="dxa"/>
        </w:tblCellMar>
      </w:tblPr>
      <w:tblGrid>
        <w:gridCol w:w="2265"/>
        <w:gridCol w:w="14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77"/>
                          <a:stretch>
                            <a:fillRect/>
                          </a:stretch>
                        </pic:blipFill>
                        <pic:spPr bwMode="auto">
                          <a:xfrm>
                            <a:off x="0" y="0"/>
                            <a:ext cx="1428750" cy="419100"/>
                          </a:xfrm>
                          <a:prstGeom prst="rect">
                            <a:avLst/>
                          </a:prstGeom>
                        </pic:spPr>
                      </pic:pic>
                    </a:graphicData>
                  </a:graphic>
                </wp:inline>
              </w:drawing>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90" w:type="dxa"/>
        <w:jc w:val="left"/>
        <w:tblInd w:w="0" w:type="dxa"/>
        <w:tblLayout w:type="fixed"/>
        <w:tblCellMar>
          <w:top w:w="0" w:type="dxa"/>
          <w:left w:w="0" w:type="dxa"/>
          <w:bottom w:w="0" w:type="dxa"/>
          <w:right w:w="0" w:type="dxa"/>
        </w:tblCellMar>
      </w:tblPr>
      <w:tblGrid>
        <w:gridCol w:w="140"/>
        <w:gridCol w:w="65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6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or other communications under this Agreement will be in writing and sent to the person and address in clause 9.2. They may be given, and will be deemed received:</w:t>
            </w:r>
          </w:p>
        </w:tc>
      </w:tr>
    </w:tbl>
    <w:p>
      <w:pPr>
        <w:pStyle w:val="TextBody"/>
        <w:bidi w:val="0"/>
        <w:spacing w:before="0" w:after="0"/>
        <w:ind w:left="0" w:right="0" w:hanging="0"/>
        <w:jc w:val="both"/>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425"/>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w:t>
            </w:r>
          </w:p>
        </w:tc>
        <w:tc>
          <w:tcPr>
            <w:tcW w:w="4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first-class post: two Business Days after posting;</w:t>
            </w:r>
          </w:p>
        </w:tc>
      </w:tr>
    </w:tbl>
    <w:p>
      <w:pPr>
        <w:pStyle w:val="TextBody"/>
        <w:bidi w:val="0"/>
        <w:spacing w:before="0" w:after="0"/>
        <w:ind w:left="0" w:right="0" w:hanging="0"/>
        <w:jc w:val="both"/>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425"/>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airmail: seven Business Days after posting;</w:t>
            </w:r>
          </w:p>
        </w:tc>
      </w:tr>
    </w:tbl>
    <w:p>
      <w:pPr>
        <w:pStyle w:val="TextBody"/>
        <w:bidi w:val="0"/>
        <w:spacing w:before="0" w:after="0"/>
        <w:ind w:left="0" w:right="0" w:hanging="0"/>
        <w:jc w:val="both"/>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425"/>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hand: on delivery; and</w:t>
            </w:r>
          </w:p>
        </w:tc>
      </w:tr>
    </w:tbl>
    <w:p>
      <w:pPr>
        <w:pStyle w:val="TextBody"/>
        <w:bidi w:val="0"/>
        <w:spacing w:before="0" w:after="0"/>
        <w:ind w:left="0" w:right="0" w:hanging="0"/>
        <w:jc w:val="both"/>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38"/>
        <w:gridCol w:w="425"/>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email: on receipt of a read return mail from the correct address.</w:t>
            </w:r>
          </w:p>
        </w:tc>
      </w:tr>
    </w:tbl>
    <w:p>
      <w:pPr>
        <w:pStyle w:val="TextBody"/>
        <w:bidi w:val="0"/>
        <w:spacing w:before="0" w:after="0"/>
        <w:ind w:left="0" w:right="0" w:hanging="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90"/>
        <w:gridCol w:w="16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will be sent: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Seller at: Plusevo Ltd, 1 Kalymnou, “Q MERITO”, 4th floor, Agios Nikolaos, Kamares, 6037 Larnaca, Cyprus; and</w:t>
            </w:r>
          </w:p>
        </w:tc>
      </w:tr>
    </w:tbl>
    <w:p>
      <w:pPr>
        <w:pStyle w:val="TextBody"/>
        <w:bidi w:val="0"/>
        <w:spacing w:before="0" w:after="0"/>
        <w:ind w:left="0" w:right="0" w:hanging="0"/>
        <w:jc w:val="both"/>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425"/>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w:t>
            </w:r>
          </w:p>
        </w:tc>
        <w:tc>
          <w:tcPr>
            <w:tcW w:w="7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Buyer at: Lottery.com Inc, 20808 State Hwy. 71W, Unit B, Spicewood, Texas 78669 USA.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may change the address to which such notices to it are to be delivered by giving not less than five Business Days’ notice to the other Party.</w:t>
            </w:r>
          </w:p>
        </w:tc>
      </w:tr>
    </w:tbl>
    <w:p>
      <w:pPr>
        <w:pStyle w:val="TextBody"/>
        <w:bidi w:val="0"/>
        <w:spacing w:before="0" w:after="0"/>
        <w:ind w:left="0" w:right="0" w:hanging="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245"/>
        <w:gridCol w:w="216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1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Information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undertakes that it shall keep the terms of this Agreement, any information that it has acquired that is confidential in nature concerning the other Party (including, without limitation, its business, affairs, customers, clients, suppliers, plans or strategy or that of any member of the group of companies to which the other party belongs) and any information developed by either Party in performing its obligations under, or otherwise pursuant to this Agreement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confidential and that it shall not use or disclose the other Party’s Confidential Information to any person, except as permitted by clause 10.2.</w:t>
            </w:r>
          </w:p>
        </w:tc>
      </w:tr>
    </w:tbl>
    <w:p>
      <w:pPr>
        <w:pStyle w:val="TextBody"/>
        <w:bidi w:val="0"/>
        <w:spacing w:before="0" w:after="0"/>
        <w:ind w:left="0" w:right="0" w:hanging="0"/>
        <w:jc w:val="both"/>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395"/>
        <w:gridCol w:w="10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1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 may: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 any Confidential Information to any of its employees, officers, representatives or advisers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who need to know the relevant Confidential Information for the purposes of the performance of any obligations under this Agreement, provided that such party must ensure that each of its Representatives to whom Confidential Information is disclosed is aware of its confidential nature and agrees to comply with this clause 10 as if it were a Party;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 any Confidential Information as may be required by law, any court, any governmental, regulatory or supervisory authority (including, without limitation, any securities exchange) or any other authority of competent jurisdiction to be disclosed; and</w:t>
            </w:r>
          </w:p>
        </w:tc>
      </w:tr>
    </w:tbl>
    <w:p>
      <w:pPr>
        <w:pStyle w:val="TextBody"/>
        <w:bidi w:val="0"/>
        <w:spacing w:before="0" w:after="0"/>
        <w:ind w:left="0" w:right="0" w:hanging="0"/>
        <w:jc w:val="both"/>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530"/>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Confidential Information only to perform any obligations under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termination of this clause 10, all Confidential Information relating to or supplied by a Party and which is or should be in the other Party’s possession will be returned by the other Party or (at the first Party’s option) destroyed and certified by an officer of the Party destroying it as destroyed.</w:t>
            </w:r>
          </w:p>
        </w:tc>
      </w:tr>
    </w:tbl>
    <w:p>
      <w:pPr>
        <w:pStyle w:val="TextBody"/>
        <w:bidi w:val="0"/>
        <w:spacing w:before="0" w:after="0"/>
        <w:ind w:left="720" w:right="0" w:hanging="720"/>
        <w:jc w:val="both"/>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395"/>
        <w:gridCol w:w="795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clause 10 will remain in force for as long as the information in question remains confidential.</w:t>
            </w:r>
          </w:p>
        </w:tc>
      </w:tr>
    </w:tbl>
    <w:p>
      <w:pPr>
        <w:pStyle w:val="TextBody"/>
        <w:bidi w:val="0"/>
        <w:spacing w:before="0" w:after="0"/>
        <w:ind w:left="0" w:right="0" w:hanging="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245"/>
        <w:gridCol w:w="26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26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 and jurisdiction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any dispute or claim arising out of, or in connection with, it, its subject matter or formation (including non-contractual disputes or claims) shall be governed by, and construed in accordance with, the laws of the Republic of Cyprus.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irrevocably agree that the courts of the Republic of Cyprus shall have exclusive jurisdiction to settle any dispute or claim arising out of, or in connection with, this Agreement, its subject matter or formation (including non-contractual disputes or claims).</w:t>
            </w:r>
          </w:p>
        </w:tc>
      </w:tr>
    </w:tbl>
    <w:p>
      <w:pPr>
        <w:pStyle w:val="TextBody"/>
        <w:bidi w:val="0"/>
        <w:spacing w:before="0" w:after="0"/>
        <w:ind w:left="56" w:right="0" w:hanging="0"/>
        <w:jc w:val="center"/>
        <w:rPr>
          <w:caps w:val="false"/>
          <w:smallCaps w:val="false"/>
        </w:rPr>
      </w:pPr>
      <w:r>
        <w:rPr>
          <w:caps w:val="false"/>
          <w:smallCaps w:val="false"/>
        </w:rPr>
        <w:t> </w:t>
      </w:r>
    </w:p>
    <w:tbl>
      <w:tblPr>
        <w:tblW w:w="2480" w:type="dxa"/>
        <w:jc w:val="left"/>
        <w:tblInd w:w="0" w:type="dxa"/>
        <w:tblLayout w:type="fixed"/>
        <w:tblCellMar>
          <w:top w:w="0" w:type="dxa"/>
          <w:left w:w="0" w:type="dxa"/>
          <w:bottom w:w="0" w:type="dxa"/>
          <w:right w:w="0" w:type="dxa"/>
        </w:tblCellMar>
      </w:tblPr>
      <w:tblGrid>
        <w:gridCol w:w="2265"/>
        <w:gridCol w:w="14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78"/>
                          <a:stretch>
                            <a:fillRect/>
                          </a:stretch>
                        </pic:blipFill>
                        <pic:spPr bwMode="auto">
                          <a:xfrm>
                            <a:off x="0" y="0"/>
                            <a:ext cx="1428750" cy="419100"/>
                          </a:xfrm>
                          <a:prstGeom prst="rect">
                            <a:avLst/>
                          </a:prstGeom>
                        </pic:spPr>
                      </pic:pic>
                    </a:graphicData>
                  </a:graphic>
                </wp:inline>
              </w:drawing>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 THE CODE</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code contained in the repository at </w:t>
      </w:r>
      <w:r>
        <w:rPr>
          <w:rFonts w:ascii="Times New Roman;Times;Serif" w:hAnsi="Times New Roman;Times;Serif"/>
          <w:b w:val="false"/>
          <w:i w:val="false"/>
          <w:caps w:val="false"/>
          <w:smallCaps w:val="false"/>
          <w:sz w:val="20"/>
          <w:u w:val="single"/>
        </w:rPr>
        <w:t>https://github.com/ltryint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LTRYINT white paper, Document Version 1.5 describing the code is appended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IP Assignment and Sale Agreement dated 25th February 2025, in which the Company acquired the IP ‘LTRYINT’,</w:t>
      </w:r>
    </w:p>
    <w:p>
      <w:pPr>
        <w:pStyle w:val="TextBody"/>
        <w:bidi w:val="0"/>
        <w:spacing w:before="0" w:after="0"/>
        <w:ind w:left="0" w:right="0" w:hanging="0"/>
        <w:jc w:val="center"/>
        <w:rPr>
          <w:caps w:val="false"/>
          <w:smallCaps w:val="false"/>
        </w:rPr>
      </w:pPr>
      <w:r>
        <w:rPr>
          <w:caps w:val="false"/>
          <w:smallCaps w:val="false"/>
        </w:rPr>
        <w:t> </w:t>
      </w:r>
    </w:p>
    <w:tbl>
      <w:tblPr>
        <w:tblW w:w="2480" w:type="dxa"/>
        <w:jc w:val="left"/>
        <w:tblInd w:w="0" w:type="dxa"/>
        <w:tblLayout w:type="fixed"/>
        <w:tblCellMar>
          <w:top w:w="0" w:type="dxa"/>
          <w:left w:w="0" w:type="dxa"/>
          <w:bottom w:w="0" w:type="dxa"/>
          <w:right w:w="0" w:type="dxa"/>
        </w:tblCellMar>
      </w:tblPr>
      <w:tblGrid>
        <w:gridCol w:w="2265"/>
        <w:gridCol w:w="14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79"/>
                          <a:stretch>
                            <a:fillRect/>
                          </a:stretch>
                        </pic:blipFill>
                        <pic:spPr bwMode="auto">
                          <a:xfrm>
                            <a:off x="0" y="0"/>
                            <a:ext cx="1428750" cy="419100"/>
                          </a:xfrm>
                          <a:prstGeom prst="rect">
                            <a:avLst/>
                          </a:prstGeom>
                        </pic:spPr>
                      </pic:pic>
                    </a:graphicData>
                  </a:graphic>
                </wp:inline>
              </w:drawing>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 PAYMENT IN KIND</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First Payment: The equivalent of Three Hundred Thousand Dollars ($300,000.00) in restricted stock units of common shares in the Buyer. at the Fixed Price (the “First Payment”) issued on the thirty first day following the Completion Date (the “First Issuance Date”). The restricted stock units of common stock in the Buyer. underlying the First Payment shall fully vest on the First Issuance Date. The restricted stock units of common shares in the Buyer. that constitute the First Payment shall include full piggyback registration rights for the benefit of Seller. The restricted stock units of common stock in Lottery.com that constitute the First Payment shall be restricted for a period of six (6) months immediately following the Closing Date and shall then be unrestricted;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Second Payment: The equivalent of Three Hundred Thousand Dollars ($300,000.00) in restricted stock units of common shares in the Buyer. at the Fixed Price (the “Second Payment”) issued on the thirty first day following the expiration of ninety (90) days after the Completion Date (the “Second Issuance Date”). The restricted stock units of common stock in the Buyer underlying the Second Payment shall fully vest on the Second Issuance Date. The restricted stock units of common shares in the Buyer that constitute the Second Payment shall include full piggyback registration rights for the benefit of Seller. The restricted stock units of common stock in the Buyer that constitute the Second Payment shall be restricted for a period of twelve (12) months immediately following the Completion Date and shall then be unrestricted;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Third Payment: The equivalent of Three Hundred Thousand Dollars ($300,000.00) in restricted stock units of common shares in the Buyer at the Fixed Price (the “ Third Payment”) issued on the thirty first day following the expiration of one hundred and eighty (180) days after the Completion Date (the “Third Issuance Date”). The restricted stock units of common stock in the Buyer underlying the Third Payment shall fully vest on the Third Issuance Date. The restricted stock units of common shares in the Buyer that constitute the Third Payment shall include full piggyback registration rights for the benefit of Seller. The restricted stock units of common stock in the Buyer that constitute the Third Payment shall be restricted for a period of eighteen (18) months immediately following the Completion Date and shall then be unrestricted;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Fourth Payment: The equivalent of Three Hundred Thousand Dollars ($300,000.00) in restricted stock units of common shares in the Buyer at the Fixed Price (the “Fourth Payment”) issued on the thirty first day following the expiration of two hundred and seventy (270) days after the Completion Date (the “Fourth Issuance Date”). The restricted stock units of common stock in the Buyer underlying the Fourth Payment shall fully vest on the Fourth Issuance Date. The restricted stock units of common shares in the Buyer that constitute the Fourth Payment shall include full piggyback registration rights for the benefit of Seller. The restricted stock units of common stock in the Buyer that constitute the Fourth Payment shall be restricted for a period of twenty four (24) months immediately following the Completion Date and shall then be unrestricted;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Fifth and Final Payment: The equivalent of Three Hundred Thousand Dollars ($300,000) in restricted stock units of common shares in the Buyer at the Fixed Price (the “Fifth and Final Payment”) on the thirty-first (31st) day following the expiration of three hundred sixty-five days (365) days after the Completion Date (the “Fifth and Final Issuance Date”). The restricted stock units of common shares in the Buyer underlying the Fifth and Final Payment shall fully vest on the Fifth and Final Issuance Date. The restricted stock units of common shares in the Buyer that make the Fifth and Final Payment shall be restricted for a period of thirty (30) months immediately following the Completion Date and shall then be unrestricted.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closing price of the restricted stock units of common shares in the Buyer issued to the Seller forming the Payment-In-Kind is lower than the Fixed Price on the six (6) month anniversary of the issuance date (whether the First Issuance Date, Second Issuance Date, Third Issuance Date, Fourth Issuance Date or Fifth and Final Issuance Date) (collectively the “Anniversary Issuance Price”), then the Fixed Price shall be adjusted downward to the VWAP of the common stock of the Buyer for the five (5) consecutive trading days immediately preceding the six (6) month anniversary date of the relevant issuance date. Accordingly, Buyer shall be obligated to tender Seller additional restricted stock units of common shares in the Buyer to make up the difference between the Fixed Price and the Anniversary Issuance Price at Three Dollars USD ($3.00).</w:t>
      </w:r>
    </w:p>
    <w:p>
      <w:pPr>
        <w:pStyle w:val="TextBody"/>
        <w:bidi w:val="0"/>
        <w:spacing w:before="0" w:after="0"/>
        <w:ind w:left="2" w:right="0" w:hanging="0"/>
        <w:jc w:val="center"/>
        <w:rPr>
          <w:caps w:val="false"/>
          <w:smallCaps w:val="false"/>
        </w:rPr>
      </w:pPr>
      <w:r>
        <w:rPr>
          <w:caps w:val="false"/>
          <w:smallCaps w:val="false"/>
        </w:rPr>
        <w:t> </w:t>
      </w:r>
    </w:p>
    <w:tbl>
      <w:tblPr>
        <w:tblW w:w="2600" w:type="dxa"/>
        <w:jc w:val="left"/>
        <w:tblInd w:w="0" w:type="dxa"/>
        <w:tblLayout w:type="fixed"/>
        <w:tblCellMar>
          <w:top w:w="0" w:type="dxa"/>
          <w:left w:w="0" w:type="dxa"/>
          <w:bottom w:w="0" w:type="dxa"/>
          <w:right w:w="0" w:type="dxa"/>
        </w:tblCellMar>
      </w:tblPr>
      <w:tblGrid>
        <w:gridCol w:w="2265"/>
        <w:gridCol w:w="260"/>
        <w:gridCol w:w="75"/>
      </w:tblGrid>
      <w:tr>
        <w:trPr/>
        <w:tc>
          <w:tcPr>
            <w:tcW w:w="2265" w:type="dxa"/>
            <w:tcBorders/>
            <w:vAlign w:val="center"/>
          </w:tcPr>
          <w:p>
            <w:pPr>
              <w:pStyle w:val="TableContents"/>
              <w:bidi w:val="0"/>
              <w:spacing w:before="0" w:after="283"/>
              <w:jc w:val="left"/>
              <w:rPr/>
            </w:pPr>
            <w:r>
              <w:rPr/>
              <w:drawing>
                <wp:inline distT="0" distB="0" distL="0" distR="0">
                  <wp:extent cx="1428750" cy="4191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80"/>
                          <a:stretch>
                            <a:fillRect/>
                          </a:stretch>
                        </pic:blipFill>
                        <pic:spPr bwMode="auto">
                          <a:xfrm>
                            <a:off x="0" y="0"/>
                            <a:ext cx="1428750" cy="419100"/>
                          </a:xfrm>
                          <a:prstGeom prst="rect">
                            <a:avLst/>
                          </a:prstGeom>
                        </pic:spPr>
                      </pic:pic>
                    </a:graphicData>
                  </a:graphic>
                </wp:inline>
              </w:drawing>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p>
      <w:pPr>
        <w:pStyle w:val="TextBody"/>
        <w:bidi w:val="0"/>
        <w:spacing w:before="0" w:after="0"/>
        <w:ind w:left="6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 DELIVERABLES AND COMPANY BOARD MEETING</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A</w:t>
      </w:r>
    </w:p>
    <w:p>
      <w:pPr>
        <w:pStyle w:val="TextBody"/>
        <w:bidi w:val="0"/>
        <w:spacing w:before="0" w:after="0"/>
        <w:ind w:left="5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to be delivered by the Seller on Completion</w:t>
      </w:r>
    </w:p>
    <w:p>
      <w:pPr>
        <w:pStyle w:val="TextBody"/>
        <w:bidi w:val="0"/>
        <w:spacing w:before="0" w:after="0"/>
        <w:ind w:left="0" w:right="0" w:hanging="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140"/>
        <w:gridCol w:w="984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Completion, the Seller shall deliver, procure the delivery of, or make available to the Buyer, the following documents: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proper instrument of transfer, duly signed by the Seller as transferor and the Buyer as transferee delivered to the Company, accompanied by the definitive share certificates of the Sale Shares (or an indemnity in a form satisfactory to the Buyer in relation to any lost or damaged share certificate).</w:t>
            </w:r>
          </w:p>
        </w:tc>
      </w:tr>
    </w:tbl>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290"/>
        <w:gridCol w:w="87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completed Registrar’s form (HE57) to be filed with Registrar of Companies within 14 days of Completion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certified copy of the minutes recording the resolution of the board of directors of the Seller authorising, amongst other things, the sale of the Sale Shares and the execution of the transfers in respect of them, and the execution and delivery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registers and minute and other record books (fully written up to the time immediately prior to Completion) and share certificate books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290"/>
        <w:gridCol w:w="63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notification shall be submitted to the Cyprus Registrar of Companies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B</w:t>
      </w:r>
    </w:p>
    <w:p>
      <w:pPr>
        <w:pStyle w:val="TextBody"/>
        <w:bidi w:val="0"/>
        <w:spacing w:before="0" w:after="0"/>
        <w:ind w:left="5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Meeting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Completion, the Seller shall procure that a resolution of the sole director is produced approving the registration of the instrument of transfer in the Company’s register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has been executed and delivered as a deed on the date written at the beginning of it.</w:t>
      </w:r>
    </w:p>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3260"/>
        <w:gridCol w:w="3350"/>
      </w:tblGrid>
      <w:tr>
        <w:trPr/>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 for and on behalf of Plusevo Ltd</w:t>
            </w:r>
          </w:p>
        </w:tc>
        <w:tc>
          <w:tcPr>
            <w:tcW w:w="3350" w:type="dxa"/>
            <w:tcBorders/>
            <w:vAlign w:val="center"/>
          </w:tcPr>
          <w:p>
            <w:pPr>
              <w:pStyle w:val="TableContents"/>
              <w:bidi w:val="0"/>
              <w:spacing w:before="0" w:after="283"/>
              <w:jc w:val="left"/>
              <w:rPr/>
            </w:pPr>
            <w:r>
              <w:rPr/>
              <w:drawing>
                <wp:inline distT="0" distB="0" distL="0" distR="0">
                  <wp:extent cx="1371600" cy="52133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81"/>
                          <a:stretch>
                            <a:fillRect/>
                          </a:stretch>
                        </pic:blipFill>
                        <pic:spPr bwMode="auto">
                          <a:xfrm>
                            <a:off x="0" y="0"/>
                            <a:ext cx="1371600" cy="521335"/>
                          </a:xfrm>
                          <a:prstGeom prst="rect">
                            <a:avLst/>
                          </a:prstGeom>
                        </pic:spPr>
                      </pic:pic>
                    </a:graphicData>
                  </a:graphic>
                </wp:inline>
              </w:drawing>
            </w:r>
          </w:p>
        </w:tc>
      </w:tr>
      <w:tr>
        <w:trPr/>
        <w:tc>
          <w:tcPr>
            <w:tcW w:w="32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MERIVERIA DIRECTORS LTD</w:t>
            </w:r>
          </w:p>
        </w:tc>
      </w:tr>
      <w:tr>
        <w:trPr/>
        <w:tc>
          <w:tcPr>
            <w:tcW w:w="32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r>
      <w:tr>
        <w:trPr/>
        <w:tc>
          <w:tcPr>
            <w:tcW w:w="32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3/12/2025</w:t>
            </w:r>
          </w:p>
        </w:tc>
      </w:tr>
    </w:tbl>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4205"/>
        <w:gridCol w:w="2105"/>
        <w:gridCol w:w="1500"/>
      </w:tblGrid>
      <w:tr>
        <w:trPr/>
        <w:tc>
          <w:tcPr>
            <w:tcW w:w="42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Signed for and on behalf of Lottery.com Inc</w:t>
            </w:r>
          </w:p>
        </w:tc>
        <w:tc>
          <w:tcPr>
            <w:tcW w:w="2105" w:type="dxa"/>
            <w:tcBorders/>
            <w:vAlign w:val="center"/>
          </w:tcPr>
          <w:p>
            <w:pPr>
              <w:pStyle w:val="TableContents"/>
              <w:bidi w:val="0"/>
              <w:spacing w:before="0" w:after="283"/>
              <w:jc w:val="left"/>
              <w:rPr/>
            </w:pPr>
            <w:r>
              <w:rPr/>
              <w:drawing>
                <wp:inline distT="0" distB="0" distL="0" distR="0">
                  <wp:extent cx="1238250" cy="6667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82"/>
                          <a:stretch>
                            <a:fillRect/>
                          </a:stretch>
                        </pic:blipFill>
                        <pic:spPr bwMode="auto">
                          <a:xfrm>
                            <a:off x="0" y="0"/>
                            <a:ext cx="1238250" cy="666750"/>
                          </a:xfrm>
                          <a:prstGeom prst="rect">
                            <a:avLst/>
                          </a:prstGeom>
                        </pic:spPr>
                      </pic:pic>
                    </a:graphicData>
                  </a:graphic>
                </wp:inline>
              </w:drawing>
            </w:r>
          </w:p>
        </w:tc>
        <w:tc>
          <w:tcPr>
            <w:tcW w:w="1500" w:type="dxa"/>
            <w:tcBorders/>
            <w:vAlign w:val="center"/>
          </w:tcPr>
          <w:p>
            <w:pPr>
              <w:pStyle w:val="TableContents"/>
              <w:bidi w:val="0"/>
              <w:spacing w:before="0" w:after="283"/>
              <w:jc w:val="left"/>
              <w:rPr/>
            </w:pPr>
            <w:r>
              <w:rPr/>
              <w:drawing>
                <wp:inline distT="0" distB="0" distL="0" distR="0">
                  <wp:extent cx="942975" cy="4572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83"/>
                          <a:stretch>
                            <a:fillRect/>
                          </a:stretch>
                        </pic:blipFill>
                        <pic:spPr bwMode="auto">
                          <a:xfrm>
                            <a:off x="0" y="0"/>
                            <a:ext cx="942975" cy="457200"/>
                          </a:xfrm>
                          <a:prstGeom prst="rect">
                            <a:avLst/>
                          </a:prstGeom>
                        </pic:spPr>
                      </pic:pic>
                    </a:graphicData>
                  </a:graphic>
                </wp:inline>
              </w:drawing>
            </w:r>
          </w:p>
        </w:tc>
      </w:tr>
      <w:tr>
        <w:trPr/>
        <w:tc>
          <w:tcPr>
            <w:tcW w:w="420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i/>
              </w:rPr>
              <w:t>signature of director</w:t>
            </w:r>
            <w:r>
              <w:rPr>
                <w:rFonts w:ascii="Times New Roman;Times;Serif" w:hAnsi="Times New Roman;Times;Serif"/>
              </w:rPr>
              <w:t>]</w:t>
            </w:r>
          </w:p>
        </w:tc>
        <w:tc>
          <w:tcPr>
            <w:tcW w:w="1500"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c>
          <w:tcPr>
            <w:tcW w:w="1500"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3/13/2025</w:t>
            </w:r>
          </w:p>
        </w:tc>
        <w:tc>
          <w:tcPr>
            <w:tcW w:w="15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3/13/2025</w:t>
            </w:r>
          </w:p>
        </w:tc>
      </w:tr>
    </w:tbl>
    <w:p>
      <w:pPr>
        <w:pStyle w:val="TextBody"/>
        <w:bidi w:val="0"/>
        <w:spacing w:before="0" w:after="0"/>
        <w:ind w:left="0" w:right="0" w:hanging="0"/>
        <w:jc w:val="left"/>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850" w:name="ex10-52.htm"/>
      <w:bookmarkStart w:id="851" w:name="ksex1052"/>
      <w:bookmarkEnd w:id="850"/>
      <w:bookmarkEnd w:id="85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10.52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Dated___June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Amendment to Share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 ALYAMOUR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COOK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PAUL DAVID SEBRIGHT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NISHANT JOHN FARIA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OSAMA MUNIR RAGHEB ALKALOTI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KGM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WEST IRELAND INVESTMENT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TRILIV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DUPLAYS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LOTTERY.COM INC.</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290"/>
        <w:gridCol w:w="2945"/>
        <w:gridCol w:w="140"/>
      </w:tblGrid>
      <w:tr>
        <w:trPr/>
        <w:tc>
          <w:tcPr>
            <w:tcW w:w="3235"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CLAUSE</w:t>
            </w:r>
          </w:p>
        </w:tc>
        <w:tc>
          <w:tcPr>
            <w:tcW w:w="14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and purchase</w:t>
            </w:r>
          </w:p>
        </w:tc>
        <w:tc>
          <w:tcPr>
            <w:tcW w:w="1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Closings</w:t>
            </w:r>
          </w:p>
        </w:tc>
        <w:tc>
          <w:tcPr>
            <w:tcW w:w="1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Warranties</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claims</w:t>
            </w:r>
          </w:p>
        </w:tc>
        <w:tc>
          <w:tcPr>
            <w:tcW w:w="1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 and announcements</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assurance</w:t>
            </w:r>
          </w:p>
        </w:tc>
        <w:tc>
          <w:tcPr>
            <w:tcW w:w="1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Entire agreement</w:t>
            </w:r>
          </w:p>
        </w:tc>
        <w:tc>
          <w:tcPr>
            <w:tcW w:w="1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set-off</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 interest</w:t>
            </w:r>
          </w:p>
        </w:tc>
        <w:tc>
          <w:tcPr>
            <w:tcW w:w="1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 and waiver</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1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Severance</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party rights</w:t>
            </w:r>
          </w:p>
        </w:tc>
        <w:tc>
          <w:tcPr>
            <w:tcW w:w="1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 and jurisdiction</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bl>
    <w:p>
      <w:pPr>
        <w:pStyle w:val="TextBody"/>
        <w:bidi w:val="0"/>
        <w:spacing w:before="0" w:after="0"/>
        <w:ind w:left="0" w:right="0" w:hanging="0"/>
        <w:jc w:val="left"/>
        <w:rPr>
          <w:caps w:val="false"/>
          <w:smallCaps w:val="false"/>
        </w:rPr>
      </w:pPr>
      <w:r>
        <w:rPr>
          <w:caps w:val="false"/>
          <w:smallCaps w:val="false"/>
        </w:rPr>
        <w:t> </w:t>
      </w:r>
    </w:p>
    <w:tbl>
      <w:tblPr>
        <w:tblW w:w="4800" w:type="dxa"/>
        <w:jc w:val="left"/>
        <w:tblInd w:w="0" w:type="dxa"/>
        <w:tblLayout w:type="fixed"/>
        <w:tblCellMar>
          <w:top w:w="0" w:type="dxa"/>
          <w:left w:w="0" w:type="dxa"/>
          <w:bottom w:w="0" w:type="dxa"/>
          <w:right w:w="0" w:type="dxa"/>
        </w:tblCellMar>
      </w:tblPr>
      <w:tblGrid>
        <w:gridCol w:w="833"/>
        <w:gridCol w:w="357"/>
        <w:gridCol w:w="3365"/>
        <w:gridCol w:w="245"/>
      </w:tblGrid>
      <w:tr>
        <w:trPr/>
        <w:tc>
          <w:tcPr>
            <w:tcW w:w="4555" w:type="dxa"/>
            <w:gridSpan w:val="3"/>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19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19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w:t>
            </w:r>
          </w:p>
        </w:tc>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PARTICULARS OF THE COMPANY</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8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19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w:t>
            </w:r>
          </w:p>
        </w:tc>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SHAREHOLDINGS AND SALE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19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w:t>
            </w:r>
          </w:p>
        </w:tc>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 CLOSING OBLIGATIONS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8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555" w:type="dxa"/>
            <w:gridSpan w:val="3"/>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1: Closing</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4555"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722"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to be delivered at Closing</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8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722"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board meeting</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8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19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4</w:t>
            </w:r>
          </w:p>
        </w:tc>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190"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722"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sell the Sale Shares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8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722"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in the Company</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8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722"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Constitutional and corporate documents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8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722"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8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3722"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and consents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8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3722"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sale of the Sale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8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3722"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Insolvency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AMENDMENT TO SHARE PURCHASE AGREEMENT (the “Amendment”)</w:t>
      </w:r>
      <w:r>
        <w:rPr>
          <w:rFonts w:ascii="Times New Roman;Times;Serif" w:hAnsi="Times New Roman;Times;Serif"/>
          <w:b w:val="false"/>
          <w:i w:val="false"/>
          <w:caps w:val="false"/>
          <w:smallCaps w:val="false"/>
          <w:sz w:val="20"/>
        </w:rPr>
        <w:t xml:space="preserve"> is dated Mm </w:t>
      </w:r>
      <w:r>
        <w:rPr>
          <w:rFonts w:ascii="Times New Roman;Times;Serif" w:hAnsi="Times New Roman;Times;Serif"/>
          <w:b/>
          <w:i w:val="false"/>
          <w:caps w:val="false"/>
          <w:smallCaps w:val="false"/>
          <w:sz w:val="20"/>
        </w:rPr>
        <w:t>June 2025</w:t>
      </w:r>
    </w:p>
    <w:p>
      <w:pPr>
        <w:pStyle w:val="TextBody"/>
        <w:bidi w:val="0"/>
        <w:spacing w:before="0" w:after="0"/>
        <w:ind w:left="38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PARTIES</w:t>
      </w:r>
    </w:p>
    <w:p>
      <w:pPr>
        <w:pStyle w:val="TextBody"/>
        <w:bidi w:val="0"/>
        <w:spacing w:before="0" w:after="0"/>
        <w:ind w:left="383"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DANI ALYAMOUR</w:t>
            </w:r>
            <w:r>
              <w:rPr>
                <w:rFonts w:ascii="Times New Roman;Times;Serif" w:hAnsi="Times New Roman;Times;Serif"/>
                <w:b w:val="false"/>
                <w:i w:val="false"/>
                <w:caps w:val="false"/>
                <w:smallCaps w:val="false"/>
                <w:sz w:val="20"/>
              </w:rPr>
              <w:t>, a Canadian national with passport number HP123618 and whose residential address is at 107 Burj Khalifa, 500161, Dubai, UAE;</w:t>
            </w:r>
          </w:p>
        </w:tc>
      </w:tr>
      <w:tr>
        <w:trPr/>
        <w:tc>
          <w:tcPr>
            <w:tcW w:w="326" w:type="dxa"/>
            <w:tcBorders/>
            <w:vAlign w:val="center"/>
          </w:tcPr>
          <w:p>
            <w:pPr>
              <w:pStyle w:val="TableContents"/>
              <w:bidi w:val="0"/>
              <w:spacing w:before="0" w:after="283"/>
              <w:jc w:val="both"/>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DAVID COOK</w:t>
            </w:r>
            <w:r>
              <w:rPr>
                <w:rFonts w:ascii="Times New Roman;Times;Serif" w:hAnsi="Times New Roman;Times;Serif"/>
                <w:b w:val="false"/>
                <w:i w:val="false"/>
                <w:caps w:val="false"/>
                <w:smallCaps w:val="false"/>
                <w:sz w:val="20"/>
              </w:rPr>
              <w:t>, a British national with passport number 138948587 and whose residential address is at Masakin Al Furjan, Block B 101, Al Furjan, Dubai, UAE;</w:t>
            </w:r>
          </w:p>
        </w:tc>
      </w:tr>
      <w:tr>
        <w:trPr/>
        <w:tc>
          <w:tcPr>
            <w:tcW w:w="326" w:type="dxa"/>
            <w:tcBorders/>
            <w:vAlign w:val="center"/>
          </w:tcPr>
          <w:p>
            <w:pPr>
              <w:pStyle w:val="TableContents"/>
              <w:bidi w:val="0"/>
              <w:spacing w:before="0" w:after="283"/>
              <w:jc w:val="both"/>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DAVID SEBRIGHT</w:t>
            </w:r>
            <w:r>
              <w:rPr>
                <w:rFonts w:ascii="Times New Roman;Times;Serif" w:hAnsi="Times New Roman;Times;Serif"/>
                <w:b w:val="false"/>
                <w:i w:val="false"/>
                <w:caps w:val="false"/>
                <w:smallCaps w:val="false"/>
                <w:sz w:val="20"/>
              </w:rPr>
              <w:t>, a British national with passport number 124326446 and whose residential address is Glencruitten House, Oban, Scotland, PA34 4QB;</w:t>
            </w:r>
          </w:p>
        </w:tc>
      </w:tr>
      <w:tr>
        <w:trPr/>
        <w:tc>
          <w:tcPr>
            <w:tcW w:w="326" w:type="dxa"/>
            <w:tcBorders/>
            <w:vAlign w:val="center"/>
          </w:tcPr>
          <w:p>
            <w:pPr>
              <w:pStyle w:val="TableContents"/>
              <w:bidi w:val="0"/>
              <w:spacing w:before="0" w:after="283"/>
              <w:jc w:val="both"/>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NISHANT JOHN FARIA</w:t>
            </w:r>
            <w:r>
              <w:rPr>
                <w:rFonts w:ascii="Times New Roman;Times;Serif" w:hAnsi="Times New Roman;Times;Serif"/>
                <w:b w:val="false"/>
                <w:i w:val="false"/>
                <w:caps w:val="false"/>
                <w:smallCaps w:val="false"/>
                <w:sz w:val="20"/>
              </w:rPr>
              <w:t>, a Canadian national with passport number AS2004407 and whose residential address is at Apt 402, Tower 6, Burj Residences, Downtown Dubai, Dubai, UAE;</w:t>
            </w:r>
          </w:p>
        </w:tc>
      </w:tr>
      <w:tr>
        <w:trPr/>
        <w:tc>
          <w:tcPr>
            <w:tcW w:w="326" w:type="dxa"/>
            <w:tcBorders/>
            <w:vAlign w:val="center"/>
          </w:tcPr>
          <w:p>
            <w:pPr>
              <w:pStyle w:val="TableContents"/>
              <w:bidi w:val="0"/>
              <w:spacing w:before="0" w:after="283"/>
              <w:jc w:val="both"/>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OSAMA MUNIR RAGHEB ALKALOTI</w:t>
            </w:r>
            <w:r>
              <w:rPr>
                <w:rFonts w:ascii="Times New Roman;Times;Serif" w:hAnsi="Times New Roman;Times;Serif"/>
                <w:b w:val="false"/>
                <w:i w:val="false"/>
                <w:caps w:val="false"/>
                <w:smallCaps w:val="false"/>
                <w:sz w:val="20"/>
              </w:rPr>
              <w:t>, a Jordanian national with passport number 9771000767 and whose residential address is at Villa 367, Plot No. 3, Um Al Sheif, Dubai, UAE;</w:t>
            </w:r>
          </w:p>
        </w:tc>
      </w:tr>
      <w:tr>
        <w:trPr/>
        <w:tc>
          <w:tcPr>
            <w:tcW w:w="326" w:type="dxa"/>
            <w:tcBorders/>
            <w:vAlign w:val="center"/>
          </w:tcPr>
          <w:p>
            <w:pPr>
              <w:pStyle w:val="TableContents"/>
              <w:bidi w:val="0"/>
              <w:spacing w:before="0" w:after="283"/>
              <w:jc w:val="both"/>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KGM HOLDINGS LIMITED</w:t>
            </w:r>
            <w:r>
              <w:rPr>
                <w:rFonts w:ascii="Times New Roman;Times;Serif" w:hAnsi="Times New Roman;Times;Serif"/>
                <w:b w:val="false"/>
                <w:i w:val="false"/>
                <w:caps w:val="false"/>
                <w:smallCaps w:val="false"/>
                <w:sz w:val="20"/>
              </w:rPr>
              <w:t>, a limited liability company incorporated in Ras Al Khaimah International Corporate Centre with registered number ICC20230926 and having its registered address at c/o Creative Zone FZ LLC 19th Floor, Fujairah - Creative Tower, Fujairah, P.O. Box 27363, United Arab Emirates;</w:t>
            </w:r>
          </w:p>
        </w:tc>
      </w:tr>
      <w:tr>
        <w:trPr/>
        <w:tc>
          <w:tcPr>
            <w:tcW w:w="326" w:type="dxa"/>
            <w:tcBorders/>
            <w:vAlign w:val="center"/>
          </w:tcPr>
          <w:p>
            <w:pPr>
              <w:pStyle w:val="TableContents"/>
              <w:bidi w:val="0"/>
              <w:spacing w:before="0" w:after="283"/>
              <w:jc w:val="both"/>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WEST IRELAND INVESTMENT LIMITED</w:t>
            </w:r>
            <w:r>
              <w:rPr>
                <w:rFonts w:ascii="Times New Roman;Times;Serif" w:hAnsi="Times New Roman;Times;Serif"/>
                <w:b w:val="false"/>
                <w:i w:val="false"/>
                <w:caps w:val="false"/>
                <w:smallCaps w:val="false"/>
                <w:sz w:val="20"/>
              </w:rPr>
              <w:t>, a freezone offshore company incorporated in Jebel Ali Free Zone with registered number 197344 and having its registered address at Suite 1901, Level 19, Boulevard Plaza Tower 1, Sheikh Mohammed Bin Rashid Boulevard, Downtown Dubai, Dubai, UAE;</w:t>
            </w:r>
          </w:p>
        </w:tc>
      </w:tr>
      <w:tr>
        <w:trPr/>
        <w:tc>
          <w:tcPr>
            <w:tcW w:w="326" w:type="dxa"/>
            <w:tcBorders/>
            <w:vAlign w:val="center"/>
          </w:tcPr>
          <w:p>
            <w:pPr>
              <w:pStyle w:val="TableContents"/>
              <w:bidi w:val="0"/>
              <w:spacing w:before="0" w:after="283"/>
              <w:jc w:val="both"/>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TRILIV HOLDINGS LIMITED</w:t>
            </w:r>
            <w:r>
              <w:rPr>
                <w:rFonts w:ascii="Times New Roman;Times;Serif" w:hAnsi="Times New Roman;Times;Serif"/>
                <w:b w:val="false"/>
                <w:i w:val="false"/>
                <w:caps w:val="false"/>
                <w:smallCaps w:val="false"/>
                <w:sz w:val="20"/>
              </w:rPr>
              <w:t>, a private limited company incorporated and registered in theADGM with company number 000004370 whose registered office is at Cloud Suite 313 - D05 &amp; D06, 11th, Al Sarab Tower, Abu Dhabi Global Market Square, Al Maryah Island, Abu Dhabi, United Arab Emirates,</w:t>
            </w:r>
          </w:p>
        </w:tc>
      </w:tr>
      <w:tr>
        <w:trPr/>
        <w:tc>
          <w:tcPr>
            <w:tcW w:w="326" w:type="dxa"/>
            <w:tcBorders/>
            <w:vAlign w:val="center"/>
          </w:tcPr>
          <w:p>
            <w:pPr>
              <w:pStyle w:val="TableContents"/>
              <w:bidi w:val="0"/>
              <w:spacing w:before="0" w:after="283"/>
              <w:jc w:val="both"/>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DUPLAYS HOLDINGS LIMITED</w:t>
            </w:r>
            <w:r>
              <w:rPr>
                <w:rFonts w:ascii="Times New Roman;Times;Serif" w:hAnsi="Times New Roman;Times;Serif"/>
                <w:b w:val="false"/>
                <w:i w:val="false"/>
                <w:caps w:val="false"/>
                <w:smallCaps w:val="false"/>
                <w:sz w:val="20"/>
              </w:rPr>
              <w:t>, a private limited company incorporated and registered in the ADGM with company number 000004370 whose registered office is at DD-15-134-004-007, Level 15, Wework Hub71, Al Khatem Tower, Al Maryah Island, Abu Dhabi, United Arab Emirates;</w:t>
            </w:r>
          </w:p>
        </w:tc>
      </w:tr>
      <w:tr>
        <w:trPr/>
        <w:tc>
          <w:tcPr>
            <w:tcW w:w="326" w:type="dxa"/>
            <w:tcBorders/>
            <w:vAlign w:val="center"/>
          </w:tcPr>
          <w:p>
            <w:pPr>
              <w:pStyle w:val="TableContents"/>
              <w:bidi w:val="0"/>
              <w:spacing w:before="0" w:after="283"/>
              <w:jc w:val="both"/>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6" w:type="dxa"/>
            <w:tcBorders/>
            <w:vAlign w:val="center"/>
          </w:tcPr>
          <w:p>
            <w:pPr>
              <w:pStyle w:val="TableContents"/>
              <w:bidi w:val="0"/>
              <w:spacing w:before="0" w:after="283"/>
              <w:jc w:val="both"/>
              <w:rPr>
                <w:caps w:val="false"/>
                <w:smallCaps w:val="false"/>
              </w:rPr>
            </w:pPr>
            <w:r>
              <w:rPr>
                <w:caps w:val="false"/>
                <w:smallCaps w:val="false"/>
              </w:rPr>
              <w:t> </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(together the </w:t>
            </w:r>
            <w:r>
              <w:rPr>
                <w:rFonts w:ascii="Times New Roman;Times;Serif" w:hAnsi="Times New Roman;Times;Serif"/>
                <w:b/>
                <w:i w:val="false"/>
                <w:caps w:val="false"/>
                <w:smallCaps w:val="false"/>
                <w:sz w:val="20"/>
              </w:rPr>
              <w:t>Sellers</w:t>
            </w:r>
            <w:r>
              <w:rPr>
                <w:rFonts w:ascii="Times New Roman;Times;Serif" w:hAnsi="Times New Roman;Times;Serif"/>
                <w:b w:val="false"/>
                <w:i w:val="false"/>
                <w:caps w:val="false"/>
                <w:smallCaps w:val="false"/>
                <w:sz w:val="20"/>
              </w:rPr>
              <w:t>); and</w:t>
            </w:r>
          </w:p>
        </w:tc>
      </w:tr>
      <w:tr>
        <w:trPr/>
        <w:tc>
          <w:tcPr>
            <w:tcW w:w="326" w:type="dxa"/>
            <w:tcBorders/>
            <w:vAlign w:val="center"/>
          </w:tcPr>
          <w:p>
            <w:pPr>
              <w:pStyle w:val="TableContents"/>
              <w:bidi w:val="0"/>
              <w:spacing w:before="0" w:after="283"/>
              <w:jc w:val="both"/>
              <w:rPr>
                <w:caps w:val="false"/>
                <w:smallCaps w:val="false"/>
              </w:rPr>
            </w:pPr>
            <w:r>
              <w:rPr>
                <w:caps w:val="false"/>
                <w:smallCaps w:val="false"/>
              </w:rPr>
              <w:t> </w:t>
            </w:r>
          </w:p>
        </w:tc>
        <w:tc>
          <w:tcPr>
            <w:tcW w:w="98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LOTTERY.COM INC.</w:t>
            </w:r>
            <w:r>
              <w:rPr>
                <w:rFonts w:ascii="Times New Roman;Times;Serif" w:hAnsi="Times New Roman;Times;Serif"/>
                <w:b w:val="false"/>
                <w:i w:val="false"/>
                <w:caps w:val="false"/>
                <w:smallCaps w:val="false"/>
                <w:sz w:val="20"/>
              </w:rPr>
              <w:t>, a Delaware corporation and having its registered address at 5049 Edwards Ranch Rd.,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Fort Worth, Texas 76109 or Assignees, as defined by clause 9.2; (jointly or severally, the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xml:space="preserve">, and together,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38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have agreed to sell and the Buyer has agreed to buy the Sale Shares subject to the terms and conditions of this Amendment.</w:t>
      </w:r>
    </w:p>
    <w:p>
      <w:pPr>
        <w:pStyle w:val="TextBody"/>
        <w:bidi w:val="0"/>
        <w:spacing w:before="0" w:after="0"/>
        <w:ind w:left="38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Agreed terms</w:t>
      </w:r>
    </w:p>
    <w:p>
      <w:pPr>
        <w:pStyle w:val="TextBody"/>
        <w:bidi w:val="0"/>
        <w:spacing w:before="0" w:after="0"/>
        <w:ind w:left="383"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185"/>
        <w:gridCol w:w="180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tc>
      </w:tr>
    </w:tbl>
    <w:p>
      <w:pPr>
        <w:pStyle w:val="TextBody"/>
        <w:bidi w:val="0"/>
        <w:spacing w:before="0" w:after="0"/>
        <w:ind w:left="720" w:right="0" w:hanging="720"/>
        <w:jc w:val="both"/>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290"/>
        <w:gridCol w:w="6680"/>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definitions and rules of interpretation in this clause apply in this Amendment.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ADGM:</w:t>
      </w:r>
      <w:r>
        <w:rPr>
          <w:rFonts w:ascii="Times New Roman;Times;Serif" w:hAnsi="Times New Roman;Times;Serif"/>
          <w:b w:val="false"/>
          <w:i w:val="false"/>
          <w:caps w:val="false"/>
          <w:smallCaps w:val="false"/>
          <w:sz w:val="20"/>
        </w:rPr>
        <w:t xml:space="preserve"> Abu Dhabi Global Market.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AED:</w:t>
      </w:r>
      <w:r>
        <w:rPr>
          <w:rFonts w:ascii="Times New Roman;Times;Serif" w:hAnsi="Times New Roman;Times;Serif"/>
          <w:b w:val="false"/>
          <w:i w:val="false"/>
          <w:caps w:val="false"/>
          <w:smallCaps w:val="false"/>
          <w:sz w:val="20"/>
        </w:rPr>
        <w:t xml:space="preserve"> United Arab Emirate Dirham, the lawful currency of the UAE.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w:t>
      </w:r>
      <w:r>
        <w:rPr>
          <w:rFonts w:ascii="Times New Roman;Times;Serif" w:hAnsi="Times New Roman;Times;Serif"/>
          <w:b w:val="false"/>
          <w:i w:val="false"/>
          <w:caps w:val="false"/>
          <w:smallCaps w:val="false"/>
          <w:sz w:val="20"/>
        </w:rPr>
        <w:t xml:space="preserve"> the business carried on by the Company and the Subsidiary, namely the provision of coworking space and serviced offices to, and incubation activities for the benefit of, sports-related business customers in the UAE.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Business Day: </w:t>
      </w:r>
      <w:r>
        <w:rPr>
          <w:rFonts w:ascii="Times New Roman;Times;Serif" w:hAnsi="Times New Roman;Times;Serif"/>
          <w:b w:val="false"/>
          <w:i w:val="false"/>
          <w:caps w:val="false"/>
          <w:smallCaps w:val="false"/>
          <w:sz w:val="20"/>
        </w:rPr>
        <w:t>a day other than a Saturday, Sunday or public holiday in the UAE when banks are open for non-automated business.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xml:space="preserve"> a claim for breach of any of the Warranties.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the completion of the sale and purchase of the Closing Shares in accordance with this Amendment..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Closing Consideration</w:t>
      </w:r>
      <w:r>
        <w:rPr>
          <w:rFonts w:ascii="Times New Roman;Times;Serif" w:hAnsi="Times New Roman;Times;Serif"/>
          <w:b w:val="false"/>
          <w:i w:val="false"/>
          <w:caps w:val="false"/>
          <w:smallCaps w:val="false"/>
          <w:sz w:val="20"/>
        </w:rPr>
        <w:t>: has the meaning given in clause 3.1.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has the meaning given in clause 4.1.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Closing Shares:</w:t>
      </w:r>
      <w:r>
        <w:rPr>
          <w:rFonts w:ascii="Times New Roman;Times;Serif" w:hAnsi="Times New Roman;Times;Serif"/>
          <w:b w:val="false"/>
          <w:i w:val="false"/>
          <w:caps w:val="false"/>
          <w:smallCaps w:val="false"/>
          <w:sz w:val="20"/>
        </w:rPr>
        <w:t xml:space="preserve"> the Sale Shares set out in column 3 of the table at Schedule 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has the meaning given in clause 3.3.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Company: </w:t>
      </w:r>
      <w:r>
        <w:rPr>
          <w:rFonts w:ascii="Times New Roman;Times;Serif" w:hAnsi="Times New Roman;Times;Serif"/>
          <w:b w:val="false"/>
          <w:i w:val="false"/>
          <w:caps w:val="false"/>
          <w:smallCaps w:val="false"/>
          <w:sz w:val="20"/>
        </w:rPr>
        <w:t>Nook Holdings Limited, a private limited company incorporated and registered in the ADGM with company number 000001429 whose registered office is at DD-15-134-004-007, Level 15, Wework Hub71, Al Khatem Tower, Al Maryah Island, Al Maryah Island, Abu Dhabi, United Arab Emirates, further details of which are set out in Schedule 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owning or controlling (directly or indirectly) more than 50% of the voting share capital of the relevant undertaking;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0" w:type="dxa"/>
            <w:tcBorders/>
            <w:vAlign w:val="center"/>
          </w:tcPr>
          <w:p>
            <w:pPr>
              <w:pStyle w:val="TableContents"/>
              <w:bidi w:val="0"/>
              <w:spacing w:before="0" w:after="283"/>
              <w:jc w:val="both"/>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able to direct the casting of more than 50% of the votes exercisable at general meetings of the relevant undertaking on all, or substantially all, matters;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0" w:type="dxa"/>
            <w:tcBorders/>
            <w:vAlign w:val="center"/>
          </w:tcPr>
          <w:p>
            <w:pPr>
              <w:pStyle w:val="TableContents"/>
              <w:bidi w:val="0"/>
              <w:spacing w:before="0" w:after="283"/>
              <w:jc w:val="both"/>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the right to appoint or remove directors of the relevant undertaking holding a majority of the voting rights at meetings of the board on all, or substantially all, matters;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0" w:type="dxa"/>
            <w:tcBorders/>
            <w:vAlign w:val="center"/>
          </w:tcPr>
          <w:p>
            <w:pPr>
              <w:pStyle w:val="TableContents"/>
              <w:bidi w:val="0"/>
              <w:spacing w:before="0" w:after="283"/>
              <w:jc w:val="both"/>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the power to determine the conduct of business affairs of an undertaking (whether through ownership of equity interest or partnership or other ownership interests, by contract or otherwise),</w:t>
            </w:r>
          </w:p>
        </w:tc>
      </w:tr>
    </w:tbl>
    <w:p>
      <w:pPr>
        <w:pStyle w:val="TextBody"/>
        <w:bidi w:val="0"/>
        <w:spacing w:before="0" w:after="0"/>
        <w:ind w:left="1705"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Controlled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Controlling</w:t>
      </w:r>
      <w:r>
        <w:rPr>
          <w:rFonts w:ascii="Times New Roman;Times;Serif" w:hAnsi="Times New Roman;Times;Serif"/>
          <w:b w:val="false"/>
          <w:i w:val="false"/>
          <w:caps w:val="false"/>
          <w:smallCaps w:val="false"/>
          <w:sz w:val="20"/>
        </w:rPr>
        <w:t xml:space="preserve"> shall have a corresponding meaning;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Deposit:</w:t>
      </w:r>
      <w:r>
        <w:rPr>
          <w:rFonts w:ascii="Times New Roman;Times;Serif" w:hAnsi="Times New Roman;Times;Serif"/>
          <w:b w:val="false"/>
          <w:i w:val="false"/>
          <w:caps w:val="false"/>
          <w:smallCaps w:val="false"/>
          <w:sz w:val="20"/>
        </w:rPr>
        <w:t xml:space="preserve"> has the meaning given in clause 3.1.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Encumbrance: </w:t>
      </w:r>
      <w:r>
        <w:rPr>
          <w:rFonts w:ascii="Times New Roman;Times;Serif" w:hAnsi="Times New Roman;Times;Serif"/>
          <w:b w:val="false"/>
          <w:i w:val="false"/>
          <w:caps w:val="false"/>
          <w:smallCaps w:val="false"/>
          <w:sz w:val="20"/>
        </w:rPr>
        <w:t>any interest or equity of any person (including any right to acquire, option or right of pre-emption) or any mortgage, charge, pledge, lien, assignment, hypothecation, security interest, title retention or any other security agreement or arrangement.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any person, any other person directly or indirectly Controlled by, or Controlling of, or under common Control with, that person;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 w:type="dxa"/>
            <w:tcBorders/>
            <w:vAlign w:val="center"/>
          </w:tcPr>
          <w:p>
            <w:pPr>
              <w:pStyle w:val="TableContents"/>
              <w:bidi w:val="0"/>
              <w:spacing w:before="0" w:after="283"/>
              <w:jc w:val="both"/>
              <w:rPr>
                <w:caps w:val="false"/>
                <w:smallCaps w:val="false"/>
              </w:rPr>
            </w:pPr>
            <w:r>
              <w:rPr>
                <w:caps w:val="false"/>
                <w:smallCaps w:val="false"/>
              </w:rPr>
              <w:t> </w:t>
            </w:r>
          </w:p>
        </w:tc>
        <w:tc>
          <w:tcPr>
            <w:tcW w:w="98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any individual, any Relative of that individual.</w:t>
            </w:r>
          </w:p>
        </w:tc>
      </w:tr>
    </w:tbl>
    <w:p>
      <w:pPr>
        <w:pStyle w:val="TextBody"/>
        <w:bidi w:val="0"/>
        <w:spacing w:before="0" w:after="0"/>
        <w:ind w:left="1658" w:right="0" w:hanging="281"/>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Option Shares: </w:t>
      </w:r>
      <w:r>
        <w:rPr>
          <w:rFonts w:ascii="Times New Roman;Times;Serif" w:hAnsi="Times New Roman;Times;Serif"/>
          <w:b w:val="false"/>
          <w:i w:val="false"/>
          <w:caps w:val="false"/>
          <w:smallCaps w:val="false"/>
          <w:sz w:val="20"/>
        </w:rPr>
        <w:t>1,000,000 ordinary shares of USD0.0001 each in the Company, all of which have been issued and are fully paid and which are held by Duplays Holdings Limited, which are set out in Schedule 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xml:space="preserve"> the purchase price for the Sale Shares, as set out in clause 3.1.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Relative:</w:t>
      </w:r>
      <w:r>
        <w:rPr>
          <w:rFonts w:ascii="Times New Roman;Times;Serif" w:hAnsi="Times New Roman;Times;Serif"/>
          <w:b w:val="false"/>
          <w:i w:val="false"/>
          <w:caps w:val="false"/>
          <w:smallCaps w:val="false"/>
          <w:sz w:val="20"/>
        </w:rPr>
        <w:t xml:space="preserve"> in relation to an individual:</w:t>
      </w:r>
    </w:p>
    <w:p>
      <w:pPr>
        <w:pStyle w:val="TextBody"/>
        <w:bidi w:val="0"/>
        <w:spacing w:before="0" w:after="0"/>
        <w:ind w:left="720" w:right="0" w:hanging="0"/>
        <w:jc w:val="both"/>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75"/>
        <w:gridCol w:w="245"/>
        <w:gridCol w:w="834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spouse, parent, son, daughter, brother or sister (whether by blood or adoption) of that individual;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3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married to any of the persons specified in paragraph (a) of this definition;</w:t>
            </w:r>
          </w:p>
        </w:tc>
      </w:tr>
    </w:tbl>
    <w:p>
      <w:pPr>
        <w:pStyle w:val="TextBody"/>
        <w:bidi w:val="0"/>
        <w:spacing w:before="0" w:after="0"/>
        <w:ind w:left="1658" w:right="0" w:hanging="281"/>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Relevant Percentage:</w:t>
      </w:r>
      <w:r>
        <w:rPr>
          <w:rFonts w:ascii="Times New Roman;Times;Serif" w:hAnsi="Times New Roman;Times;Serif"/>
          <w:b w:val="false"/>
          <w:i w:val="false"/>
          <w:caps w:val="false"/>
          <w:smallCaps w:val="false"/>
          <w:sz w:val="20"/>
        </w:rPr>
        <w:t xml:space="preserve"> the percentage of Sale Shares held by each Seller as set out in column 4 of the table at Schedule 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Sale Shares: </w:t>
      </w:r>
      <w:r>
        <w:rPr>
          <w:rFonts w:ascii="Times New Roman;Times;Serif" w:hAnsi="Times New Roman;Times;Serif"/>
          <w:b w:val="false"/>
          <w:i w:val="false"/>
          <w:caps w:val="false"/>
          <w:smallCaps w:val="false"/>
          <w:sz w:val="20"/>
        </w:rPr>
        <w:t>8,500,000 preference shares and 500,000 ordinary shares of USD0.0001 each in the Company, all of which have been issued and are fully paid and which are held by the Sellers in the numbers shown in column 3 of the table at Schedule 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Sellers’ Bank Account: </w:t>
      </w:r>
      <w:r>
        <w:rPr>
          <w:rFonts w:ascii="Times New Roman;Times;Serif" w:hAnsi="Times New Roman;Times;Serif"/>
          <w:b w:val="false"/>
          <w:i w:val="false"/>
          <w:caps w:val="false"/>
          <w:smallCaps w:val="false"/>
          <w:sz w:val="20"/>
        </w:rPr>
        <w:t>means the nominated account of the shareholder of the Company nominated by all the Sellers to receive the Closing Consideration and having the following details: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75"/>
        <w:gridCol w:w="1250"/>
        <w:gridCol w:w="27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name:</w:t>
            </w:r>
          </w:p>
        </w:tc>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Emirates NBD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w:t>
            </w:r>
          </w:p>
        </w:tc>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Nook Office DMCC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w:t>
            </w:r>
          </w:p>
        </w:tc>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IBAN:</w:t>
            </w:r>
          </w:p>
        </w:tc>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AE82 0260 0010 2550 5051 702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Subsidiary: </w:t>
      </w:r>
      <w:r>
        <w:rPr>
          <w:rFonts w:ascii="Times New Roman;Times;Serif" w:hAnsi="Times New Roman;Times;Serif"/>
          <w:b w:val="false"/>
          <w:i w:val="false"/>
          <w:caps w:val="false"/>
          <w:smallCaps w:val="false"/>
          <w:sz w:val="20"/>
        </w:rPr>
        <w:t>Nook Office DMCC, a limited liability company incorporated under the laws of the Dubai Multi Commodities Centre with registration number DMCC107621 and having its registered address at OneJLT-02-02, One JLT, DMCC-EZ1-1AB, Jumeirah Lakes Towers, Dubai, UAE, and which is a wholly-owned subsidiary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UAE:</w:t>
      </w:r>
      <w:r>
        <w:rPr>
          <w:rFonts w:ascii="Times New Roman;Times;Serif" w:hAnsi="Times New Roman;Times;Serif"/>
          <w:b w:val="false"/>
          <w:i w:val="false"/>
          <w:caps w:val="false"/>
          <w:smallCaps w:val="false"/>
          <w:sz w:val="20"/>
        </w:rPr>
        <w:t xml:space="preserve"> United Arab Emirates.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USD:</w:t>
      </w:r>
      <w:r>
        <w:rPr>
          <w:rFonts w:ascii="Times New Roman;Times;Serif" w:hAnsi="Times New Roman;Times;Serif"/>
          <w:b w:val="false"/>
          <w:i w:val="false"/>
          <w:caps w:val="false"/>
          <w:smallCaps w:val="false"/>
          <w:sz w:val="20"/>
        </w:rPr>
        <w:t xml:space="preserve"> United States Dollars, the lawful currency of the United States of America.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Warranties:</w:t>
      </w:r>
      <w:r>
        <w:rPr>
          <w:rFonts w:ascii="Times New Roman;Times;Serif" w:hAnsi="Times New Roman;Times;Serif"/>
          <w:b w:val="false"/>
          <w:i w:val="false"/>
          <w:caps w:val="false"/>
          <w:smallCaps w:val="false"/>
          <w:sz w:val="20"/>
        </w:rPr>
        <w:t xml:space="preserve"> the warranties set out in Schedule 4.</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clauses and Schedules are to the clauses of and Schedules to this Amendment and references to paragraphs are to paragraphs of the relevant Schedule.</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Schedules form part of this Amendment and shall have effect as if set out in full in the body of this Amendment. Any reference to this Amendment includes the Schedules.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Amendment shall be binding on and enure to the benefit of, the Parties to this Amendment and their respective successors and permitted assigns, and references to a </w:t>
            </w:r>
            <w:r>
              <w:rPr>
                <w:rFonts w:ascii="Times New Roman;Times;Serif" w:hAnsi="Times New Roman;Times;Serif"/>
                <w:b/>
                <w:i w:val="false"/>
                <w:caps w:val="false"/>
                <w:smallCaps w:val="false"/>
                <w:sz w:val="20"/>
              </w:rPr>
              <w:t xml:space="preserve">Party </w:t>
            </w:r>
            <w:r>
              <w:rPr>
                <w:rFonts w:ascii="Times New Roman;Times;Serif" w:hAnsi="Times New Roman;Times;Serif"/>
                <w:b w:val="false"/>
                <w:i w:val="false"/>
                <w:caps w:val="false"/>
                <w:smallCaps w:val="false"/>
                <w:sz w:val="20"/>
              </w:rPr>
              <w:t>shall include that Party’s successors and permitted assigns.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reference to a </w:t>
            </w:r>
            <w:r>
              <w:rPr>
                <w:rFonts w:ascii="Times New Roman;Times;Serif" w:hAnsi="Times New Roman;Times;Serif"/>
                <w:b/>
                <w:i w:val="false"/>
                <w:caps w:val="false"/>
                <w:smallCaps w:val="false"/>
                <w:sz w:val="20"/>
              </w:rPr>
              <w:t xml:space="preserve">company </w:t>
            </w:r>
            <w:r>
              <w:rPr>
                <w:rFonts w:ascii="Times New Roman;Times;Serif" w:hAnsi="Times New Roman;Times;Serif"/>
                <w:b w:val="false"/>
                <w:i w:val="false"/>
                <w:caps w:val="false"/>
                <w:smallCaps w:val="false"/>
                <w:sz w:val="20"/>
              </w:rPr>
              <w:t>shall include any company, corporation or other body corporate, wherever and however incorporated or established.</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reference to </w:t>
            </w:r>
            <w:r>
              <w:rPr>
                <w:rFonts w:ascii="Times New Roman;Times;Serif" w:hAnsi="Times New Roman;Times;Serif"/>
                <w:b/>
                <w:i w:val="false"/>
                <w:caps w:val="false"/>
                <w:smallCaps w:val="false"/>
                <w:sz w:val="20"/>
              </w:rPr>
              <w:t xml:space="preserve">writing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 xml:space="preserve">written </w:t>
            </w:r>
            <w:r>
              <w:rPr>
                <w:rFonts w:ascii="Times New Roman;Times;Serif" w:hAnsi="Times New Roman;Times;Serif"/>
                <w:b w:val="false"/>
                <w:i w:val="false"/>
                <w:caps w:val="false"/>
                <w:smallCaps w:val="false"/>
                <w:sz w:val="20"/>
              </w:rPr>
              <w:t>includes email (unless otherwise expressly provided in this Amendment).</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xml:space="preserve"> is a corporate entity Controlled by another corporate entity and a </w:t>
            </w:r>
            <w:r>
              <w:rPr>
                <w:rFonts w:ascii="Times New Roman;Times;Serif" w:hAnsi="Times New Roman;Times;Serif"/>
                <w:b/>
                <w:i w:val="false"/>
                <w:caps w:val="false"/>
                <w:smallCaps w:val="false"/>
                <w:sz w:val="20"/>
              </w:rPr>
              <w:t xml:space="preserve">wholly-owned subsidiary </w:t>
            </w:r>
            <w:r>
              <w:rPr>
                <w:rFonts w:ascii="Times New Roman;Times;Serif" w:hAnsi="Times New Roman;Times;Serif"/>
                <w:b w:val="false"/>
                <w:i w:val="false"/>
                <w:caps w:val="false"/>
                <w:smallCaps w:val="false"/>
                <w:sz w:val="20"/>
              </w:rPr>
              <w:t>is a subsidiary which is owned 100 percent by the other corporate entity.</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words following the terms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include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 particular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for example </w:t>
            </w:r>
            <w:r>
              <w:rPr>
                <w:rFonts w:ascii="Times New Roman;Times;Serif" w:hAnsi="Times New Roman;Times;Serif"/>
                <w:b w:val="false"/>
                <w:i w:val="false"/>
                <w:caps w:val="false"/>
                <w:smallCaps w:val="false"/>
                <w:sz w:val="20"/>
              </w:rPr>
              <w:t>or any similar expression shall be construed as illustrative and shall not limit the sense of the words, description, definition, phrase or term preceding those terms.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References to a document in </w:t>
            </w:r>
            <w:r>
              <w:rPr>
                <w:rFonts w:ascii="Times New Roman;Times;Serif" w:hAnsi="Times New Roman;Times;Serif"/>
                <w:b/>
                <w:i w:val="false"/>
                <w:caps w:val="false"/>
                <w:smallCaps w:val="false"/>
                <w:sz w:val="20"/>
              </w:rPr>
              <w:t>agreed form</w:t>
            </w:r>
            <w:r>
              <w:rPr>
                <w:rFonts w:ascii="Times New Roman;Times;Serif" w:hAnsi="Times New Roman;Times;Serif"/>
                <w:b w:val="false"/>
                <w:i w:val="false"/>
                <w:caps w:val="false"/>
                <w:smallCaps w:val="false"/>
                <w:sz w:val="20"/>
              </w:rPr>
              <w:t xml:space="preserve"> are to that document in the form agreed by the Parties and initialled by them or on their behalf for identification.</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a reference to a statute, statutory provision or subordinate legislation is a reference to it as it is in force as at the date of this Amendment. A reference to a statute or statutory provision shall include all subordinate legislation made as at the date of this Amendment under that statute or statutory provision.</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AND PURCHASE</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sell and the Buyer shall buy, with effect from Closing, the Sale Shares with full title guarantee, free from all Encumbrances and together with all rights attached or accruing to them on the terms and subject to the conditions of this Amendment.</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also grant to the Buyer an option to purchase all of the Option Shares on the terms set out in a call option agreement dated on or about the date thereof.</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PRICE</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is USD 2,459,016 (two million four hundred fifty nine thousand and sixteen of which USD 271,858 has already been paid as a non-refundable deposit (</w:t>
            </w:r>
            <w:r>
              <w:rPr>
                <w:rFonts w:ascii="Times New Roman;Times;Serif" w:hAnsi="Times New Roman;Times;Serif"/>
                <w:b/>
                <w:i w:val="false"/>
                <w:caps w:val="false"/>
                <w:smallCaps w:val="false"/>
                <w:sz w:val="20"/>
              </w:rPr>
              <w:t>Deposit</w:t>
            </w:r>
            <w:r>
              <w:rPr>
                <w:rFonts w:ascii="Times New Roman;Times;Serif" w:hAnsi="Times New Roman;Times;Serif"/>
                <w:b w:val="false"/>
                <w:i w:val="false"/>
                <w:caps w:val="false"/>
                <w:smallCaps w:val="false"/>
                <w:sz w:val="20"/>
              </w:rPr>
              <w:t>). The remainder of USD 2,187,158 (</w:t>
            </w:r>
            <w:r>
              <w:rPr>
                <w:rFonts w:ascii="Times New Roman;Times;Serif" w:hAnsi="Times New Roman;Times;Serif"/>
                <w:b/>
                <w:i w:val="false"/>
                <w:caps w:val="false"/>
                <w:smallCaps w:val="false"/>
                <w:sz w:val="20"/>
              </w:rPr>
              <w:t>Closing Consideration</w:t>
            </w:r>
            <w:r>
              <w:rPr>
                <w:rFonts w:ascii="Times New Roman;Times;Serif" w:hAnsi="Times New Roman;Times;Serif"/>
                <w:b w:val="false"/>
                <w:i w:val="false"/>
                <w:caps w:val="false"/>
                <w:smallCaps w:val="false"/>
                <w:sz w:val="20"/>
              </w:rPr>
              <w:t>) shall be paid by the Buyer in cash. on or before the Closing Date.</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shall be deemed to be reduced by the amount of any payment made to the Buyer in respect of any Claim.</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Sellers have agreed pursuant to prior arrangements to pay to Duplays Holdings Limited and Dani Alyamour a commission of USD 122,951 being 5 per cent. of the total Purchase Price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of which 2.5 per cent. is payable to Duplays Holdings Limited and 2.5 per cent. is payable to Dani Alyamour and, provided always that the Buyer shall under no circumstances have any liability to any person in respect of the Commission. The Commission will be payable by the Sellers from the proceeds of the Closing Consideration to such account as Duplays Holdings Limited and Dani Alyamour shall notify the other Sellers in respect of the Commission.</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shall be entitled to its Relevant Percentage of the Purchase Price (less the Commission).</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9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Closing shall take place on or before 30 June 2025 (the </w:t>
            </w:r>
            <w:r>
              <w:rPr>
                <w:rFonts w:ascii="Times New Roman;Times;Serif" w:hAnsi="Times New Roman;Times;Serif"/>
                <w:b/>
                <w:i w:val="false"/>
                <w:caps w:val="false"/>
                <w:smallCaps w:val="false"/>
                <w:sz w:val="20"/>
              </w:rPr>
              <w:t>Original Closing Date</w:t>
            </w:r>
            <w:r>
              <w:rPr>
                <w:rFonts w:ascii="Times New Roman;Times;Serif" w:hAnsi="Times New Roman;Times;Serif"/>
                <w:b w:val="false"/>
                <w:i w:val="false"/>
                <w:caps w:val="false"/>
                <w:smallCaps w:val="false"/>
                <w:sz w:val="20"/>
              </w:rPr>
              <w:t xml:space="preserve">) or such date as the Parties may agree in writing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being no more than 2 weeks from the Original Closing Date at such place as the Parties agree.</w:t>
            </w:r>
          </w:p>
        </w:tc>
      </w:tr>
    </w:tbl>
    <w:p>
      <w:pPr>
        <w:pStyle w:val="TextBody"/>
        <w:bidi w:val="0"/>
        <w:spacing w:before="0" w:after="0"/>
        <w:ind w:left="720" w:right="0" w:hanging="72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290"/>
        <w:gridCol w:w="855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Closing, the Parties shall confirm all documents set out in Part 1 of Schedule 3 are in agreed form.</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prior to Closing, the Sellers shall confirm to the Buyers that all documents set out in Part 1 of Schedule 3 are available in signed but undated format.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Sellers complying with clause 4.3, the Buyer shall pay the Closing Consideration to the Sellers’ Bank Account.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Purchase Price made in accordance with clause 4.4. shall be a good and valid discharge of the Buyer’s obligation towards the Sellers to pay the Purchase Price.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the Closing Consideration by the Sellers, the Sellers shall release all documents set out in Part 1 of Schedule 3.</w:t>
            </w:r>
          </w:p>
        </w:tc>
      </w:tr>
    </w:tbl>
    <w:p>
      <w:pPr>
        <w:pStyle w:val="TextBody"/>
        <w:bidi w:val="0"/>
        <w:spacing w:before="0" w:after="0"/>
        <w:ind w:left="720" w:right="0" w:hanging="720"/>
        <w:jc w:val="both"/>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185"/>
        <w:gridCol w:w="341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34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WARRANTIES AND UNDERTAKINGS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warrant to the Buyer that each Warranty is, to the best of their knowledge, true, accurate and not misleading in any material respect.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Warranties is separate and, unless expressly provided otherwise, is not limited by reference to any other Warranty or any other provision in this Amendment.</w:t>
            </w:r>
          </w:p>
        </w:tc>
      </w:tr>
    </w:tbl>
    <w:p>
      <w:pPr>
        <w:pStyle w:val="TextBody"/>
        <w:bidi w:val="0"/>
        <w:spacing w:before="0" w:after="0"/>
        <w:ind w:left="720" w:right="0" w:hanging="720"/>
        <w:jc w:val="both"/>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290"/>
        <w:gridCol w:w="303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covenant with the Buyer: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to sell, transfer, assign or create (or allow to exist) any Encumbrance on any Sale Share during the term ofthis Amendment; and</w:t>
            </w:r>
          </w:p>
        </w:tc>
      </w:tr>
    </w:tbl>
    <w:p>
      <w:pPr>
        <w:pStyle w:val="TextBody"/>
        <w:bidi w:val="0"/>
        <w:spacing w:before="0" w:after="0"/>
        <w:ind w:left="1942"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hold all Sale Shares as encumbered in favour of the Buyer pending transfer to the Buyer on the terms of this Amendment,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the obligations of the Sellers pursuant to this clause 5.3 shall:</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cease to apply to the extent that the Sellers are no longer obliged to transfer shares to the Buyer, whether because of the termination or expiry of this Amendment, on default of the Buyer or otherwise; and</w:t>
            </w:r>
          </w:p>
        </w:tc>
      </w:tr>
    </w:tbl>
    <w:p>
      <w:pPr>
        <w:pStyle w:val="TextBody"/>
        <w:bidi w:val="0"/>
        <w:spacing w:before="0" w:after="0"/>
        <w:ind w:left="1942" w:right="0" w:hanging="567"/>
        <w:jc w:val="both"/>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38"/>
        <w:gridCol w:w="245"/>
        <w:gridCol w:w="82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include an obligation to create any kind of registered or registerable security over the Sale Shares.</w:t>
            </w:r>
          </w:p>
        </w:tc>
      </w:tr>
    </w:tbl>
    <w:p>
      <w:pPr>
        <w:pStyle w:val="TextBody"/>
        <w:bidi w:val="0"/>
        <w:spacing w:before="0" w:after="0"/>
        <w:ind w:left="1942" w:right="0" w:hanging="567"/>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85"/>
        <w:gridCol w:w="251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5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CLAIMS</w:t>
            </w:r>
          </w:p>
        </w:tc>
      </w:tr>
    </w:tbl>
    <w:p>
      <w:pPr>
        <w:pStyle w:val="TextBody"/>
        <w:bidi w:val="0"/>
        <w:spacing w:before="0" w:after="0"/>
        <w:ind w:left="720" w:right="0" w:hanging="720"/>
        <w:jc w:val="both"/>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290"/>
        <w:gridCol w:w="549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be jointly, but not severally, liable for any Claims.</w:t>
            </w:r>
          </w:p>
        </w:tc>
      </w:tr>
    </w:tbl>
    <w:p>
      <w:pPr>
        <w:pStyle w:val="TextBody"/>
        <w:bidi w:val="0"/>
        <w:spacing w:before="0" w:after="0"/>
        <w:ind w:left="720" w:right="0" w:hanging="720"/>
        <w:jc w:val="both"/>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290"/>
        <w:gridCol w:w="8660"/>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8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liability of the Sellers for all Claims shall not exceed an amount equal to the Purchase Price.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not be liable for a Claim unless notice in writing of the Claim, summarising the nature of the Claim and, as far as is reasonably practicable, the amount claimed, has been given by or on behalf of the Buyer to the Sellers on or before the first anniversary of the Closing. Notwithstanding the foregoing, Buyer does not waive its right to assert any Claim(s) within the statute of limitations provided in the appropriate jurisdiction governing this Amendment.</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72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clause 6 applies to exclude or limit the Sellers’ liability to the extent that a Claim arises or is delayed as a result of dishonesty, fraud, wilful misconduct or wilful concealment by the Seller, its agents or advisers intended to deceive or induce the Buyer.</w:t>
            </w:r>
          </w:p>
        </w:tc>
      </w:tr>
    </w:tbl>
    <w:p>
      <w:pPr>
        <w:pStyle w:val="TextBody"/>
        <w:bidi w:val="0"/>
        <w:spacing w:before="0" w:after="0"/>
        <w:ind w:left="720" w:right="0" w:hanging="72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185"/>
        <w:gridCol w:w="416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41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CONFIDENTIALITY AND ANNOUNCEMENTS</w:t>
            </w:r>
          </w:p>
        </w:tc>
      </w:tr>
    </w:tbl>
    <w:p>
      <w:pPr>
        <w:pStyle w:val="TextBody"/>
        <w:bidi w:val="0"/>
        <w:spacing w:before="0" w:after="0"/>
        <w:ind w:left="720" w:right="0" w:hanging="72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290"/>
        <w:gridCol w:w="8030"/>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required by law or any legal or regulatory authority of competent jurisdiction: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shall not (and shall procure that no member of its Group shall) at any time disclose to any person (other than its professional advisers) the terms of this Amendment or any trade secret or other confidential information relating to the Company, the Business or the Buyer, or make any use of such information other than to the extent necessary for the purpose of exercising or performing its rights and obligations under this Amendment; and</w:t>
            </w:r>
          </w:p>
        </w:tc>
      </w:tr>
    </w:tbl>
    <w:p>
      <w:pPr>
        <w:pStyle w:val="TextBody"/>
        <w:bidi w:val="0"/>
        <w:spacing w:before="0" w:after="0"/>
        <w:ind w:left="1942"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clause 7.2, no Party shall make, or permit any person to make, any public announcement, communication or circular concerning this Amendment without the prior written consent of the other Parties.</w:t>
            </w:r>
          </w:p>
        </w:tc>
      </w:tr>
    </w:tbl>
    <w:p>
      <w:pPr>
        <w:pStyle w:val="TextBody"/>
        <w:bidi w:val="0"/>
        <w:spacing w:before="0" w:after="0"/>
        <w:ind w:left="1942"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may, at any time after = Closing, announce its acquisition of the Sale Shares to any employees, clients, customers or suppliers of the Company or any other member of the Buyer’s Group.</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Amendment shall prevent the Buyer from complying with any reporting, disclosure or press release obligations arising from the Buyer being listed on NASDAQ or any other regulatory obligations.</w:t>
            </w:r>
          </w:p>
        </w:tc>
      </w:tr>
    </w:tbl>
    <w:p>
      <w:pPr>
        <w:pStyle w:val="TextBody"/>
        <w:bidi w:val="0"/>
        <w:spacing w:before="0" w:after="0"/>
        <w:ind w:left="720" w:right="0" w:hanging="72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185"/>
        <w:gridCol w:w="218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1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ASSURANCE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(and shall use reasonable endeavours to procure that any relevant third Party shall) promptly execute and deliver such documents and perform such acts as the Buyer may reasonably require from time to time for the purpose of giving full effect to this Amendment.</w:t>
      </w:r>
    </w:p>
    <w:p>
      <w:pPr>
        <w:pStyle w:val="TextBody"/>
        <w:bidi w:val="0"/>
        <w:spacing w:before="0" w:after="0"/>
        <w:ind w:left="720" w:right="0" w:hanging="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185"/>
        <w:gridCol w:w="132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13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may not assign, mortgage, charge, declare a trust of, or deal in any other manner with any or all of its rights and obligations under this Amendment without the prior written consent of the Buyer.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time, the Buyer at its sole discretion shall have the right to assign this Amendment, including any of its rights or obligations, in whole or in part, to any affiliated entities or third parties it deems necessary in the performance of this Amendment or in the operations of the Company (the </w:t>
            </w:r>
            <w:r>
              <w:rPr>
                <w:rFonts w:ascii="Times New Roman;Times;Serif" w:hAnsi="Times New Roman;Times;Serif"/>
                <w:b/>
                <w:i w:val="false"/>
                <w:caps w:val="false"/>
                <w:smallCaps w:val="false"/>
                <w:sz w:val="20"/>
              </w:rPr>
              <w:t>Assignees</w:t>
            </w:r>
            <w:r>
              <w:rPr>
                <w:rFonts w:ascii="Times New Roman;Times;Serif" w:hAnsi="Times New Roman;Times;Serif"/>
                <w:b w:val="false"/>
                <w:i w:val="false"/>
                <w:caps w:val="false"/>
                <w:smallCaps w:val="false"/>
                <w:sz w:val="20"/>
              </w:rPr>
              <w:t>), and no consent on the part of Seller shall be required for such assignment(s). Seller shall not be released from this Amendment by any such assignment(s).</w:t>
            </w:r>
          </w:p>
        </w:tc>
      </w:tr>
    </w:tbl>
    <w:p>
      <w:pPr>
        <w:pStyle w:val="TextBody"/>
        <w:bidi w:val="0"/>
        <w:spacing w:before="0" w:after="0"/>
        <w:ind w:left="720" w:right="0" w:hanging="72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290"/>
        <w:gridCol w:w="210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ENTIRE AGREEMENT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constitutes the entire agreement between the Parties and supersedes and extinguishes all previous discussions, correspondence, negotiations, drafts, agreements, promises, assurances, warranties, representations and understandings between them, whether written or oral, relating to their subject matter.</w:t>
      </w:r>
    </w:p>
    <w:p>
      <w:pPr>
        <w:pStyle w:val="TextBody"/>
        <w:bidi w:val="0"/>
        <w:spacing w:before="0" w:after="0"/>
        <w:ind w:left="720" w:right="0" w:hanging="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290"/>
        <w:gridCol w:w="198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19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COSTS AND SET-OFF</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pay its own costs and expenses incurred in connection with the negotiation, preparation, execution and implementation of this Amendment and the transaction contemplated by this Amendment.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be entitled to set-off any amount which is due by one Party to the other Parties under this Amendment against any amount owed to the first Party by the second Party.</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9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DEFAULT INTEREST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sums not paid when due pursuant to this Amendment shall accrue interest at the rate of two per cent. per calendar month or part thereof from the due date until the date of actual payment.</w:t>
      </w:r>
    </w:p>
    <w:p>
      <w:pPr>
        <w:pStyle w:val="TextBody"/>
        <w:bidi w:val="0"/>
        <w:spacing w:before="0" w:after="0"/>
        <w:ind w:left="720" w:right="0" w:hanging="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290"/>
        <w:gridCol w:w="245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24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 AND WAIVER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variation of this Amendment shall be effective unless it is in writing and signed by the Parties (or their authorised representatives).</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or delay by a Party to exercise any right or remedy provided under this Amendment or by law shall constitute a waiver of that or any other right or remedy, nor shall it prevent or restrict the further exercise of that or any other right or remedy. No single or partial exercise of such right or remedy shall prevent or restrict the further exercise of that or any other right or remedy. A waiver of any right or remedy under this Amendment or by law is only effective if it is in writing.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provided in this Amendment, the rights and remedies provided under this Amendment are in addition to, and not exclusive of, any rights or remedies provided by law.</w:t>
            </w:r>
          </w:p>
        </w:tc>
      </w:tr>
    </w:tbl>
    <w:p>
      <w:pPr>
        <w:pStyle w:val="TextBody"/>
        <w:bidi w:val="0"/>
        <w:spacing w:before="0" w:after="0"/>
        <w:ind w:left="720" w:right="0" w:hanging="720"/>
        <w:jc w:val="both"/>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90"/>
        <w:gridCol w:w="90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other communication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to be given under this Amendment must be given in English and in writing and may be delivered in person or sent by pre-paid international courier or email (to the extent details are set out below) to the relevant Party as follows:</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9"/>
        <w:gridCol w:w="7781"/>
      </w:tblGrid>
      <w:tr>
        <w:trPr/>
        <w:tc>
          <w:tcPr>
            <w:tcW w:w="75"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77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Lottery.com Inc., 5049 Edwards Ranch Rd, Fort Worth, Texas 76109</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9" w:type="dxa"/>
            <w:tcBorders/>
            <w:vAlign w:val="center"/>
          </w:tcPr>
          <w:p>
            <w:pPr>
              <w:pStyle w:val="TableContents"/>
              <w:bidi w:val="0"/>
              <w:spacing w:before="0" w:after="283"/>
              <w:jc w:val="both"/>
              <w:rPr>
                <w:caps w:val="false"/>
                <w:smallCaps w:val="false"/>
              </w:rPr>
            </w:pPr>
            <w:r>
              <w:rPr>
                <w:caps w:val="false"/>
                <w:smallCaps w:val="false"/>
              </w:rPr>
              <w:t> </w:t>
            </w:r>
          </w:p>
        </w:tc>
        <w:tc>
          <w:tcPr>
            <w:tcW w:w="77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77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matthew.mcgahan@lottery.com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9" w:type="dxa"/>
            <w:tcBorders/>
            <w:vAlign w:val="center"/>
          </w:tcPr>
          <w:p>
            <w:pPr>
              <w:pStyle w:val="TableContents"/>
              <w:bidi w:val="0"/>
              <w:spacing w:before="0" w:after="283"/>
              <w:jc w:val="both"/>
              <w:rPr>
                <w:caps w:val="false"/>
                <w:smallCaps w:val="false"/>
              </w:rPr>
            </w:pPr>
            <w:r>
              <w:rPr>
                <w:caps w:val="false"/>
                <w:smallCaps w:val="false"/>
              </w:rPr>
              <w:t> </w:t>
            </w:r>
          </w:p>
        </w:tc>
        <w:tc>
          <w:tcPr>
            <w:tcW w:w="77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copy to (which shall not constitute Notice):</w:t>
            </w:r>
          </w:p>
        </w:tc>
        <w:tc>
          <w:tcPr>
            <w:tcW w:w="77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legal@lottery.com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9" w:type="dxa"/>
            <w:tcBorders/>
            <w:vAlign w:val="center"/>
          </w:tcPr>
          <w:p>
            <w:pPr>
              <w:pStyle w:val="TableContents"/>
              <w:bidi w:val="0"/>
              <w:spacing w:before="0" w:after="283"/>
              <w:jc w:val="both"/>
              <w:rPr>
                <w:caps w:val="false"/>
                <w:smallCaps w:val="false"/>
              </w:rPr>
            </w:pPr>
            <w:r>
              <w:rPr>
                <w:caps w:val="false"/>
                <w:smallCaps w:val="false"/>
              </w:rPr>
              <w:t> </w:t>
            </w:r>
          </w:p>
        </w:tc>
        <w:tc>
          <w:tcPr>
            <w:tcW w:w="77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w:t>
            </w:r>
            <w:r>
              <w:rPr>
                <w:rFonts w:ascii="Times New Roman;Times;Serif" w:hAnsi="Times New Roman;Times;Serif"/>
                <w:b/>
                <w:i w:val="false"/>
                <w:caps w:val="false"/>
                <w:smallCaps w:val="false"/>
                <w:sz w:val="20"/>
              </w:rPr>
              <w:t>Sellers</w:t>
            </w:r>
            <w:r>
              <w:rPr>
                <w:rFonts w:ascii="Times New Roman;Times;Serif" w:hAnsi="Times New Roman;Times;Serif"/>
                <w:b w:val="false"/>
                <w:i w:val="false"/>
                <w:caps w:val="false"/>
                <w:smallCaps w:val="false"/>
                <w:sz w:val="20"/>
              </w:rPr>
              <w:t>:</w:t>
            </w:r>
          </w:p>
        </w:tc>
        <w:tc>
          <w:tcPr>
            <w:tcW w:w="77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9" w:type="dxa"/>
            <w:tcBorders/>
            <w:vAlign w:val="center"/>
          </w:tcPr>
          <w:p>
            <w:pPr>
              <w:pStyle w:val="TableContents"/>
              <w:bidi w:val="0"/>
              <w:spacing w:before="0" w:after="283"/>
              <w:jc w:val="both"/>
              <w:rPr>
                <w:caps w:val="false"/>
                <w:smallCaps w:val="false"/>
              </w:rPr>
            </w:pPr>
            <w:r>
              <w:rPr>
                <w:caps w:val="false"/>
                <w:smallCaps w:val="false"/>
              </w:rPr>
              <w:t> </w:t>
            </w:r>
          </w:p>
        </w:tc>
        <w:tc>
          <w:tcPr>
            <w:tcW w:w="77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77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Nook Holdings Limited, DD-15-134-004-007, Level 15, Wework Hub71, Al Khatem Tower, Al Maryah Island, Al Maryah Island, Abu Dhabi, United Arab Emirates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9" w:type="dxa"/>
            <w:tcBorders/>
            <w:vAlign w:val="center"/>
          </w:tcPr>
          <w:p>
            <w:pPr>
              <w:pStyle w:val="TableContents"/>
              <w:bidi w:val="0"/>
              <w:spacing w:before="0" w:after="283"/>
              <w:jc w:val="both"/>
              <w:rPr>
                <w:caps w:val="false"/>
                <w:smallCaps w:val="false"/>
              </w:rPr>
            </w:pPr>
            <w:r>
              <w:rPr>
                <w:caps w:val="false"/>
                <w:smallCaps w:val="false"/>
              </w:rPr>
              <w:t> </w:t>
            </w:r>
          </w:p>
        </w:tc>
        <w:tc>
          <w:tcPr>
            <w:tcW w:w="77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77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ravi@duplays.com</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at any such other address or email address as it may notify the other Parties under this clause 14.</w:t>
      </w:r>
    </w:p>
    <w:p>
      <w:pPr>
        <w:pStyle w:val="TextBody"/>
        <w:bidi w:val="0"/>
        <w:spacing w:before="0" w:after="0"/>
        <w:ind w:left="720" w:right="0" w:hanging="0"/>
        <w:jc w:val="both"/>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395"/>
        <w:gridCol w:w="7025"/>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shall be effective upon receipt and shall be deemed to have been received:</w:t>
            </w:r>
          </w:p>
        </w:tc>
      </w:tr>
    </w:tbl>
    <w:p>
      <w:pPr>
        <w:pStyle w:val="TextBody"/>
        <w:bidi w:val="0"/>
        <w:spacing w:before="0" w:after="0"/>
        <w:ind w:left="720" w:right="0" w:hanging="720"/>
        <w:jc w:val="both"/>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23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delivered in person, at the time of delivery;</w:t>
            </w:r>
          </w:p>
        </w:tc>
      </w:tr>
    </w:tbl>
    <w:p>
      <w:pPr>
        <w:pStyle w:val="TextBody"/>
        <w:bidi w:val="0"/>
        <w:spacing w:before="0" w:after="0"/>
        <w:ind w:left="1942"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sent by pre-paid international courier, at 9.00am on the fifth Business Day after posting or at the time recorded by the delivery service; or</w:t>
            </w:r>
          </w:p>
        </w:tc>
      </w:tr>
    </w:tbl>
    <w:p>
      <w:pPr>
        <w:pStyle w:val="TextBody"/>
        <w:bidi w:val="0"/>
        <w:spacing w:before="0" w:after="0"/>
        <w:ind w:left="1942" w:right="0" w:hanging="567"/>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23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sent by email, on the date a delivery receipt is received by the sender in respect of the Notice.</w:t>
            </w:r>
          </w:p>
        </w:tc>
      </w:tr>
    </w:tbl>
    <w:p>
      <w:pPr>
        <w:pStyle w:val="TextBody"/>
        <w:bidi w:val="0"/>
        <w:spacing w:before="0" w:after="0"/>
        <w:ind w:left="1942"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Notice is sent by email, a hard copy of such Notice shall be couriered to the recipient of the Notice immediately at the address set out in clause 14.1. No Notice in relation to the service of proceedings under clause 17 may be served by email.</w:t>
            </w:r>
          </w:p>
        </w:tc>
      </w:tr>
    </w:tbl>
    <w:p>
      <w:pPr>
        <w:pStyle w:val="TextBody"/>
        <w:bidi w:val="0"/>
        <w:spacing w:before="0" w:after="0"/>
        <w:ind w:left="720" w:right="0" w:hanging="72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290"/>
        <w:gridCol w:w="122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12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SEVERANCE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or part-provision of this Amendment is or becomes invalid, illegal or unenforceable, it shall be deemed modified to the minimum extent necessary to make it valid, legal and enforceable. If such modification is not possible, the relevant provision or part-provision shall be deemed deleted. Any modification to or deletion of a provision or part-provision under this clause shall not affect the validity and enforceability of the rest of this Amendment.</w:t>
      </w:r>
    </w:p>
    <w:p>
      <w:pPr>
        <w:pStyle w:val="TextBody"/>
        <w:bidi w:val="0"/>
        <w:spacing w:before="0" w:after="0"/>
        <w:jc w:val="center"/>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90"/>
        <w:gridCol w:w="216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21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PARTY RIGHTS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is not a party to this Amendment shall not have any rights under the Contracts (Rights of Third Parties) Act 1999 to enforce any term of this Amendment.</w:t>
      </w:r>
    </w:p>
    <w:p>
      <w:pPr>
        <w:pStyle w:val="TextBody"/>
        <w:bidi w:val="0"/>
        <w:spacing w:before="0" w:after="0"/>
        <w:ind w:left="720" w:right="0" w:hanging="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290"/>
        <w:gridCol w:w="363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36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 AND JURISDICTION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and any dispute or claim (including non-contractual disputes or claims) arising out of or in connection with it or its subject matter or formation shall be governed by and construed in accordance with the law of England and Wales.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irrevocably agrees that the courts of the ADGM shall have exclusive jurisdiction to settle any dispute or claim (including non-contractual disputes or claims) arising out of or in connection with this Amendment or its subject matter or formation.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has been entered into on the date stated at the beginning of it.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t>
      </w:r>
      <w:r>
        <w:rPr>
          <w:rFonts w:ascii="Times New Roman;Times;Serif" w:hAnsi="Times New Roman;Times;Serif"/>
          <w:b w:val="false"/>
          <w:i/>
          <w:caps w:val="false"/>
          <w:smallCaps w:val="false"/>
          <w:sz w:val="20"/>
        </w:rPr>
        <w:t>The remainder of this page is intentionally left blank. Signature page follows.)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tbl>
      <w:tblPr>
        <w:tblW w:w="6365" w:type="dxa"/>
        <w:jc w:val="left"/>
        <w:tblInd w:w="0" w:type="dxa"/>
        <w:tblLayout w:type="fixed"/>
        <w:tblCellMar>
          <w:top w:w="0" w:type="dxa"/>
          <w:left w:w="0" w:type="dxa"/>
          <w:bottom w:w="28" w:type="dxa"/>
          <w:right w:w="0" w:type="dxa"/>
        </w:tblCellMar>
      </w:tblPr>
      <w:tblGrid>
        <w:gridCol w:w="6290"/>
        <w:gridCol w:w="75"/>
      </w:tblGrid>
      <w:tr>
        <w:trPr/>
        <w:tc>
          <w:tcPr>
            <w:tcW w:w="62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 Alyamour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 Alyamour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6/9/2025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Cook</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Cook</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6/9/2025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David Sebright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Paul David Sebright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6/9/2025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Nishant John Faria</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Nishant John Faria</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6/9/2025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Osama Munir Ragheb Alkaloti</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Osama Munir Ragheb Alkaloti</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6/9/2025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Ravi Bhusari</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Ravi Bhusari</w:t>
            </w:r>
            <w:r>
              <w:rPr>
                <w:rFonts w:ascii="Times New Roman;Times;Serif" w:hAnsi="Times New Roman;Times;Serif"/>
                <w:b w:val="false"/>
                <w:i w:val="false"/>
                <w:caps w:val="false"/>
                <w:smallCaps w:val="false"/>
                <w:sz w:val="20"/>
              </w:rPr>
              <w:t xml:space="preserve"> for and on behalf of </w:t>
            </w:r>
            <w:r>
              <w:rPr>
                <w:rFonts w:ascii="Times New Roman;Times;Serif" w:hAnsi="Times New Roman;Times;Serif"/>
                <w:b/>
                <w:i w:val="false"/>
                <w:caps w:val="false"/>
                <w:smallCaps w:val="false"/>
                <w:sz w:val="20"/>
              </w:rPr>
              <w:t>Duplays Holdings Limited</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6/9/2025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Mahesh Gobind Dalamal</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Mahesh Gobind Dalamal</w:t>
            </w:r>
            <w:r>
              <w:rPr>
                <w:rFonts w:ascii="Times New Roman;Times;Serif" w:hAnsi="Times New Roman;Times;Serif"/>
                <w:b w:val="false"/>
                <w:i w:val="false"/>
                <w:caps w:val="false"/>
                <w:smallCaps w:val="false"/>
                <w:sz w:val="20"/>
              </w:rPr>
              <w:t xml:space="preserve"> for and on behalf of </w:t>
            </w:r>
            <w:r>
              <w:rPr>
                <w:rFonts w:ascii="Times New Roman;Times;Serif" w:hAnsi="Times New Roman;Times;Serif"/>
                <w:b/>
                <w:i w:val="false"/>
                <w:caps w:val="false"/>
                <w:smallCaps w:val="false"/>
                <w:sz w:val="20"/>
              </w:rPr>
              <w:t>KGM Holdings Limited</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6/9/2025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Mahesh Gobind Dalamal</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Steven Daniel Mayne</w:t>
            </w:r>
            <w:r>
              <w:rPr>
                <w:rFonts w:ascii="Times New Roman;Times;Serif" w:hAnsi="Times New Roman;Times;Serif"/>
                <w:b w:val="false"/>
                <w:i w:val="false"/>
                <w:caps w:val="false"/>
                <w:smallCaps w:val="false"/>
                <w:sz w:val="20"/>
              </w:rPr>
              <w:t xml:space="preserve"> for and on behalf of </w:t>
            </w:r>
            <w:r>
              <w:rPr>
                <w:rFonts w:ascii="Times New Roman;Times;Serif" w:hAnsi="Times New Roman;Times;Serif"/>
                <w:b/>
                <w:i w:val="false"/>
                <w:caps w:val="false"/>
                <w:smallCaps w:val="false"/>
                <w:sz w:val="20"/>
              </w:rPr>
              <w:t>West Ireland Investment Limited</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6/10/2025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Jigar Ramesh Sagar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Jigar Ramesh Sagar</w:t>
            </w:r>
            <w:r>
              <w:rPr>
                <w:rFonts w:ascii="Times New Roman;Times;Serif" w:hAnsi="Times New Roman;Times;Serif"/>
                <w:b w:val="false"/>
                <w:i w:val="false"/>
                <w:caps w:val="false"/>
                <w:smallCaps w:val="false"/>
                <w:sz w:val="20"/>
              </w:rPr>
              <w:t xml:space="preserve"> for an on behalf of </w:t>
            </w:r>
            <w:r>
              <w:rPr>
                <w:rFonts w:ascii="Times New Roman;Times;Serif" w:hAnsi="Times New Roman;Times;Serif"/>
                <w:b/>
                <w:i w:val="false"/>
                <w:caps w:val="false"/>
                <w:smallCaps w:val="false"/>
                <w:sz w:val="20"/>
              </w:rPr>
              <w:t>Triliv Holdings Limited</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6/9/2025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McGahan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Matthew McGahan</w:t>
            </w:r>
            <w:r>
              <w:rPr>
                <w:rFonts w:ascii="Times New Roman;Times;Serif" w:hAnsi="Times New Roman;Times;Serif"/>
                <w:b w:val="false"/>
                <w:i w:val="false"/>
                <w:caps w:val="false"/>
                <w:smallCaps w:val="false"/>
                <w:sz w:val="20"/>
              </w:rPr>
              <w:t xml:space="preserve"> for and on behalf of </w:t>
            </w:r>
            <w:r>
              <w:rPr>
                <w:rFonts w:ascii="Times New Roman;Times;Serif" w:hAnsi="Times New Roman;Times;Serif"/>
                <w:b/>
                <w:i w:val="false"/>
                <w:caps w:val="false"/>
                <w:smallCaps w:val="false"/>
                <w:sz w:val="20"/>
              </w:rPr>
              <w:t>Lottery.com Inc.</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6/9/2025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 Particulars of the Company</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5"/>
        <w:gridCol w:w="60"/>
        <w:gridCol w:w="7610"/>
      </w:tblGrid>
      <w:tr>
        <w:trPr/>
        <w:tc>
          <w:tcPr>
            <w:tcW w:w="2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Nook Holdings Limited</w:t>
            </w:r>
          </w:p>
        </w:tc>
      </w:tr>
      <w:tr>
        <w:trPr/>
        <w:tc>
          <w:tcPr>
            <w:tcW w:w="2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000001429</w:t>
            </w:r>
          </w:p>
        </w:tc>
      </w:tr>
      <w:tr>
        <w:trPr/>
        <w:tc>
          <w:tcPr>
            <w:tcW w:w="2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ADGM</w:t>
            </w:r>
          </w:p>
        </w:tc>
      </w:tr>
      <w:tr>
        <w:trPr/>
        <w:tc>
          <w:tcPr>
            <w:tcW w:w="2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DD-15-134-004–007, Level 15, WeWork Hub71,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 Khatem Tower, Abu Dhabi Global Market Square, Al Maryah Island, Abu Dhabi, United Arab Emirates,</w:t>
            </w:r>
          </w:p>
        </w:tc>
      </w:tr>
      <w:tr>
        <w:trPr/>
        <w:tc>
          <w:tcPr>
            <w:tcW w:w="2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share 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Amount:</w:t>
            </w:r>
            <w:r>
              <w:rPr>
                <w:rFonts w:ascii="Times New Roman;Times;Serif" w:hAnsi="Times New Roman;Times;Serif"/>
                <w:b w:val="false"/>
                <w:i w:val="false"/>
                <w:caps w:val="false"/>
                <w:smallCaps w:val="false"/>
                <w:sz w:val="20"/>
              </w:rPr>
              <w:t xml:space="preserve"> USD1,000</w:t>
            </w:r>
          </w:p>
          <w:p>
            <w:pPr>
              <w:pStyle w:val="TableContents"/>
              <w:bidi w:val="0"/>
              <w:spacing w:before="0" w:after="0"/>
              <w:ind w:left="107"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Divided into:</w:t>
            </w:r>
            <w:r>
              <w:rPr>
                <w:rFonts w:ascii="Times New Roman;Times;Serif" w:hAnsi="Times New Roman;Times;Serif"/>
                <w:b w:val="false"/>
                <w:i w:val="false"/>
                <w:caps w:val="false"/>
                <w:smallCaps w:val="false"/>
                <w:sz w:val="20"/>
              </w:rPr>
              <w:t xml:space="preserve"> 1,500,000 ordinary shares and 8,500,000 preference shares of USD0.0001 each</w:t>
            </w:r>
          </w:p>
        </w:tc>
      </w:tr>
      <w:tr>
        <w:trPr/>
        <w:tc>
          <w:tcPr>
            <w:tcW w:w="2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shadow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Ravi Nagesh Bhusari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 Alyamour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Cook</w:t>
            </w:r>
          </w:p>
          <w:p>
            <w:pPr>
              <w:pStyle w:val="TableContents"/>
              <w:bidi w:val="0"/>
              <w:spacing w:before="0" w:after="0"/>
              <w:ind w:left="107"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David Sebright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Davinder Rao</w:t>
            </w:r>
          </w:p>
          <w:p>
            <w:pPr>
              <w:pStyle w:val="TableContents"/>
              <w:bidi w:val="0"/>
              <w:spacing w:before="0" w:after="0"/>
              <w:ind w:left="107"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Vilhelm Nikolai Paus Hedberg</w:t>
            </w:r>
          </w:p>
          <w:p>
            <w:pPr>
              <w:pStyle w:val="TableContents"/>
              <w:bidi w:val="0"/>
              <w:spacing w:before="0" w:after="0"/>
              <w:ind w:left="107"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Daniel Mayne</w:t>
            </w:r>
          </w:p>
        </w:tc>
      </w:tr>
      <w:tr>
        <w:trPr/>
        <w:tc>
          <w:tcPr>
            <w:tcW w:w="2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Authorised signatories: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Ravi Nagesh Bhusari</w:t>
            </w:r>
          </w:p>
        </w:tc>
      </w:tr>
      <w:tr>
        <w:trPr/>
        <w:tc>
          <w:tcPr>
            <w:tcW w:w="2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 Shareholdings and Sale Shares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06"/>
        <w:gridCol w:w="60"/>
        <w:gridCol w:w="84"/>
        <w:gridCol w:w="1066"/>
        <w:gridCol w:w="75"/>
        <w:gridCol w:w="75"/>
        <w:gridCol w:w="75"/>
        <w:gridCol w:w="1064"/>
        <w:gridCol w:w="60"/>
        <w:gridCol w:w="60"/>
        <w:gridCol w:w="61"/>
        <w:gridCol w:w="874"/>
        <w:gridCol w:w="60"/>
        <w:gridCol w:w="60"/>
        <w:gridCol w:w="65"/>
        <w:gridCol w:w="765"/>
        <w:gridCol w:w="60"/>
        <w:gridCol w:w="60"/>
        <w:gridCol w:w="105"/>
        <w:gridCol w:w="860"/>
        <w:gridCol w:w="185"/>
        <w:gridCol w:w="60"/>
        <w:gridCol w:w="187"/>
        <w:gridCol w:w="1999"/>
        <w:gridCol w:w="79"/>
      </w:tblGrid>
      <w:tr>
        <w:trPr/>
        <w:tc>
          <w:tcPr>
            <w:tcW w:w="210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39"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85"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8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7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06"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39"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and class of shares held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85"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Sale </w:t>
              <w:br/>
              <w:t>Shares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Relevant</w:t>
            </w:r>
          </w:p>
        </w:tc>
        <w:tc>
          <w:tcPr>
            <w:tcW w:w="1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86" w:type="dxa"/>
            <w:gridSpan w:val="2"/>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Price allocation in USD</w:t>
            </w:r>
          </w:p>
        </w:tc>
        <w:tc>
          <w:tcPr>
            <w:tcW w:w="7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0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w:t>
              <w:br/>
              <w:t>shares</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w:t>
              <w:br/>
              <w:t>shares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w:t>
              <w:br/>
              <w:t>shares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w:t>
              <w:br/>
              <w:t>shares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w:t>
              <w:br/>
              <w:t>Percentage</w:t>
            </w:r>
          </w:p>
        </w:tc>
        <w:tc>
          <w:tcPr>
            <w:tcW w:w="1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8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(excluding</w:t>
              <w:br/>
              <w:t>Commission)</w:t>
            </w:r>
          </w:p>
        </w:tc>
        <w:tc>
          <w:tcPr>
            <w:tcW w:w="7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Duplays Holdings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136,612</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0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 Alyamour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273,224</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Cook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546,448</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0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David Sebright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409,836</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Nishant John Faria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273,224</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0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Osama Munir Ragheb Alkaloti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273,224</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KGM Holdings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248,634</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0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Ireland Investment Limited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248,634</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Triliv Holdings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49,180</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06"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9"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2,459,016</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 Seller’s Closing obligations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Part 1: Closing</w:t>
      </w:r>
    </w:p>
    <w:p>
      <w:pPr>
        <w:pStyle w:val="TextBody"/>
        <w:bidi w:val="0"/>
        <w:spacing w:before="0" w:after="0"/>
        <w:ind w:left="383" w:right="0" w:hanging="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85"/>
        <w:gridCol w:w="375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375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Documents to be delivered at Closing</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the Sellers shall deliver to the Buyer:</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the Closing Shares executed by the Sellers in favour of the Buyer;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certificates for the Sale Shares or an indemnity for any lost certificates;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resignations of all directors of the Company other than Ravi Bhusari and Davinder Rao;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required, a written resolution of the board of the Company appointing at least three (3) Buyer’s representatives to the board of the Company and accepting the resignations of the resigning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copies of all documents required by the Company’s registered agent to transfer the Closing Shares from the Sellers to the Buyer and removing the resigning directors from the board of the Company and authorised signatory positions of the Company and any person appointed by the Buyer;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corporate credit card, debit card, and all other banking documents, credentials and instruments relating to the bank accounts of the Company and the Subsidiary;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minutes, in agreed form, of the board meeting held by the Company pursuant to paragraph 2 of this Schedule 3;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completed and signed copy of the Disclosure Letter provided by Buyer to Company.</w:t>
            </w:r>
          </w:p>
        </w:tc>
      </w:tr>
    </w:tbl>
    <w:p>
      <w:pPr>
        <w:pStyle w:val="TextBody"/>
        <w:bidi w:val="0"/>
        <w:spacing w:before="0" w:after="0"/>
        <w:ind w:left="1942" w:right="0" w:hanging="567"/>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185"/>
        <w:gridCol w:w="228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28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Closing board meeting</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cause a board meeting of the Company to be held at Closing at which the matters set out in this Amendment shall be resolved and approved.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4 Warranties</w:t>
      </w:r>
    </w:p>
    <w:p>
      <w:pPr>
        <w:pStyle w:val="TextBody"/>
        <w:bidi w:val="0"/>
        <w:spacing w:before="0" w:after="0"/>
        <w:jc w:val="center"/>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185"/>
        <w:gridCol w:w="300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300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Power to sell the Sale Shares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has the requisite power and authority to enter into and perform this Amendment and the documents referred to in it (to which it is a party), and they constitute valid, legal and binding obligations on each Seller in accordance with their respective terms.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and performance by the Sellers of this Amendment and the documents referred to in it will not breach or constitute a default under any Seller’s articles of association, or any agreement, instrument, order, judgment or other restriction which binds any Seller.</w:t>
            </w:r>
          </w:p>
        </w:tc>
      </w:tr>
    </w:tbl>
    <w:p>
      <w:pPr>
        <w:pStyle w:val="TextBody"/>
        <w:bidi w:val="0"/>
        <w:spacing w:before="0" w:after="0"/>
        <w:ind w:left="720" w:right="0" w:hanging="72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185"/>
        <w:gridCol w:w="225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25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Shares in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Shares constitute 90 percent. of the allotted and issued share capital of the Company and are fully paid or credited as fully paid.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is the sole legal and beneficial owner of the Sale Shares set against its name in column 3 of the table at Schedule 2 and is entitled to transfer the legal and beneficial title to such Sale Shares to the Buyer free from all Encumbrances, without the consent of any other person.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has any right to require at any time the transfer, creation, issue or allotment of any share, loan capital or other securities of the Company (or any rights or interest in them), and no person has agreed to confer or has claimed any such right.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Encumbrance has been granted to any person or otherwise exists affecting the Sale Shares or any unissued shares, debentures or other unissued securities of the Company, and no commitment to create any such Encumbrance has been given, nor has any person claimed any such rights.</w:t>
            </w:r>
          </w:p>
        </w:tc>
      </w:tr>
    </w:tbl>
    <w:p>
      <w:pPr>
        <w:pStyle w:val="TextBody"/>
        <w:bidi w:val="0"/>
        <w:spacing w:before="0" w:after="0"/>
        <w:ind w:left="720" w:right="0" w:hanging="72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290"/>
        <w:gridCol w:w="507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5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is a wholly-owned subsidiary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185"/>
        <w:gridCol w:w="417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417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Constitutional and corporate documents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far as each Seller is aware, all deeds and documents belonging to the Company Group (or to which it is a party) are in the possession of the Company Group.</w:t>
      </w:r>
    </w:p>
    <w:p>
      <w:pPr>
        <w:pStyle w:val="TextBody"/>
        <w:bidi w:val="0"/>
        <w:spacing w:before="0" w:after="0"/>
        <w:ind w:left="720" w:right="0" w:hanging="0"/>
        <w:jc w:val="both"/>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185"/>
        <w:gridCol w:w="128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280"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Information</w:t>
            </w:r>
          </w:p>
        </w:tc>
      </w:tr>
    </w:tbl>
    <w:p>
      <w:pPr>
        <w:pStyle w:val="TextBody"/>
        <w:bidi w:val="0"/>
        <w:spacing w:before="0" w:after="0"/>
        <w:ind w:left="720" w:right="0" w:hanging="72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290"/>
        <w:gridCol w:w="558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particulars set out in Schedule 1 are true, accurate and complete.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(excluding information received by the Sellers from the Buyer) given by or on behalf of the Sellers to the Buyer (or its agents or advisers) in the course of the negotiations leading up to this Amendment, was when given, and is now, true, accurate and, so far as the Sellers are aware, complete.</w:t>
            </w:r>
          </w:p>
        </w:tc>
      </w:tr>
    </w:tbl>
    <w:p>
      <w:pPr>
        <w:pStyle w:val="TextBody"/>
        <w:bidi w:val="0"/>
        <w:spacing w:before="0" w:after="0"/>
        <w:ind w:left="720" w:right="0" w:hanging="72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52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Compliance and consents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Group has at all times conducted its business in accordance with, and has acted in compliance with, all applicable laws and regulations.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Group holds all licences, consents, permits and authorities necessary to carry on the Business in the places and in the manner in which it is carried on at the Closing Date (</w:t>
            </w:r>
            <w:r>
              <w:rPr>
                <w:rFonts w:ascii="Times New Roman;Times;Serif" w:hAnsi="Times New Roman;Times;Serif"/>
                <w:b/>
                <w:i w:val="false"/>
                <w:caps w:val="false"/>
                <w:smallCaps w:val="false"/>
                <w:sz w:val="20"/>
              </w:rPr>
              <w:t>Consents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Consents is valid and subsisting, the Company Group is not in breach of the terms or conditions of the Consents (or any of them) and there is no reason why any of the Consents may be revoked or suspended (in whole or in part) or may not be renewed on the same terms.</w:t>
            </w:r>
          </w:p>
        </w:tc>
      </w:tr>
    </w:tbl>
    <w:p>
      <w:pPr>
        <w:pStyle w:val="TextBody"/>
        <w:bidi w:val="0"/>
        <w:spacing w:before="0" w:after="0"/>
        <w:ind w:left="720" w:right="0" w:hanging="72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185"/>
        <w:gridCol w:w="333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333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Effect of sale of the Sale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the Sale Shares by the Buyer will not:</w:t>
      </w:r>
    </w:p>
    <w:p>
      <w:pPr>
        <w:pStyle w:val="TextBody"/>
        <w:bidi w:val="0"/>
        <w:spacing w:before="0" w:after="0"/>
        <w:ind w:left="720" w:right="0" w:hanging="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23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the Company Group to lose the benefit of any right, asset or privilege it presently enjoys; or</w:t>
            </w:r>
          </w:p>
        </w:tc>
      </w:tr>
    </w:tbl>
    <w:p>
      <w:pPr>
        <w:pStyle w:val="TextBody"/>
        <w:bidi w:val="0"/>
        <w:spacing w:before="0" w:after="0"/>
        <w:ind w:left="1942"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relieve any person of any obligation to the Company Group, or enable any person to determine any such obligation, or any right or benefit enjoyed by the Company Group, or to exercise any other right in respect of the Company Group.</w:t>
            </w:r>
          </w:p>
        </w:tc>
      </w:tr>
    </w:tbl>
    <w:p>
      <w:pPr>
        <w:pStyle w:val="TextBody"/>
        <w:bidi w:val="0"/>
        <w:spacing w:before="0" w:after="0"/>
        <w:jc w:val="left"/>
        <w:rPr/>
      </w:pPr>
      <w:r>
        <w:rPr/>
        <w:t xml:space="preserve">  </w:t>
      </w:r>
    </w:p>
    <w:tbl>
      <w:tblPr>
        <w:tblW w:w="1645" w:type="dxa"/>
        <w:jc w:val="left"/>
        <w:tblInd w:w="0" w:type="dxa"/>
        <w:tblLayout w:type="fixed"/>
        <w:tblCellMar>
          <w:top w:w="0" w:type="dxa"/>
          <w:left w:w="0" w:type="dxa"/>
          <w:bottom w:w="0" w:type="dxa"/>
          <w:right w:w="0" w:type="dxa"/>
        </w:tblCellMar>
      </w:tblPr>
      <w:tblGrid>
        <w:gridCol w:w="185"/>
        <w:gridCol w:w="146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1460"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No Insolvency</w:t>
            </w:r>
          </w:p>
        </w:tc>
      </w:tr>
    </w:tbl>
    <w:p>
      <w:pPr>
        <w:pStyle w:val="TextBody"/>
        <w:bidi w:val="0"/>
        <w:spacing w:before="0" w:after="0"/>
        <w:ind w:left="1942" w:right="0" w:hanging="567"/>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insolvency event has occurred in relation to any Seller.</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720" w:right="0" w:hanging="72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852" w:name="ex10-66.htm"/>
      <w:bookmarkStart w:id="853" w:name="ksex1066"/>
      <w:bookmarkEnd w:id="852"/>
      <w:bookmarkEnd w:id="85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28725" cy="4191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84"/>
                    <a:stretch>
                      <a:fillRect/>
                    </a:stretch>
                  </pic:blipFill>
                  <pic:spPr bwMode="auto">
                    <a:xfrm>
                      <a:off x="0" y="0"/>
                      <a:ext cx="1228725" cy="4191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 w:right="19"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Capital Investments London Limited (“UCIL”)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Ss Stratford Road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Shirley, Solihull England, B90 4AA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Via Email: </w:t>
      </w:r>
      <w:r>
        <w:rPr>
          <w:rFonts w:ascii="Times New Roman;Times;Serif" w:hAnsi="Times New Roman;Times;Serif"/>
          <w:b/>
          <w:i/>
          <w:caps w:val="false"/>
          <w:smallCaps w:val="false"/>
          <w:sz w:val="20"/>
          <w:u w:val="single"/>
        </w:rPr>
        <w:t>barney.battles@ucilondon.com</w:t>
      </w:r>
      <w:r>
        <w:rPr>
          <w:rFonts w:ascii="Times New Roman;Times;Serif" w:hAnsi="Times New Roman;Times;Serif"/>
          <w:b/>
          <w:i/>
          <w:caps w:val="false"/>
          <w:smallCaps w:val="false"/>
          <w:sz w:val="20"/>
        </w:rPr>
        <w:t xml:space="preserve">, </w:t>
      </w:r>
      <w:r>
        <w:rPr>
          <w:rFonts w:ascii="Times New Roman;Times;Serif" w:hAnsi="Times New Roman;Times;Serif"/>
          <w:b/>
          <w:i/>
          <w:caps w:val="false"/>
          <w:smallCaps w:val="false"/>
          <w:sz w:val="20"/>
          <w:u w:val="single"/>
        </w:rPr>
        <w:t>matthew.mcgahan@ucilondon.com</w:t>
      </w:r>
      <w:r>
        <w:rPr>
          <w:rFonts w:ascii="Times New Roman;Times;Serif" w:hAnsi="Times New Roman;Times;Serif"/>
          <w:b w:val="false"/>
          <w:i w:val="false"/>
          <w:caps w:val="false"/>
          <w:smallCaps w:val="false"/>
          <w:sz w:val="20"/>
        </w:rPr>
        <w:t>, and Colin Marsh via post to 40 Holmefield Court, Belsize Grove, London, NW3 4TT</w:t>
      </w:r>
    </w:p>
    <w:p>
      <w:pPr>
        <w:pStyle w:val="TextBody"/>
        <w:bidi w:val="0"/>
        <w:spacing w:before="0" w:after="0"/>
        <w:ind w:left="0" w:right="0" w:hanging="0"/>
        <w:jc w:val="both"/>
        <w:rPr>
          <w:caps w:val="false"/>
          <w:smallCaps w:val="false"/>
        </w:rPr>
      </w:pPr>
      <w:r>
        <w:rPr>
          <w:caps w:val="false"/>
          <w:smallCaps w:val="false"/>
        </w:rPr>
        <w:t> </w:t>
      </w:r>
    </w:p>
    <w:tbl>
      <w:tblPr>
        <w:tblW w:w="10008" w:type="dxa"/>
        <w:jc w:val="left"/>
        <w:tblInd w:w="0" w:type="dxa"/>
        <w:tblLayout w:type="fixed"/>
        <w:tblCellMar>
          <w:top w:w="0" w:type="dxa"/>
          <w:left w:w="0" w:type="dxa"/>
          <w:bottom w:w="0" w:type="dxa"/>
          <w:right w:w="0" w:type="dxa"/>
        </w:tblCellMar>
      </w:tblPr>
      <w:tblGrid>
        <w:gridCol w:w="38"/>
        <w:gridCol w:w="305"/>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w:t>
            </w:r>
          </w:p>
        </w:tc>
        <w:tc>
          <w:tcPr>
            <w:tcW w:w="96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Lottery.com Inc. </w:t>
            </w:r>
            <w:r>
              <w:rPr>
                <w:rFonts w:ascii="Times New Roman;Times;Serif" w:hAnsi="Times New Roman;Times;Serif"/>
                <w:b/>
                <w:i/>
                <w:caps w:val="false"/>
                <w:smallCaps w:val="false"/>
                <w:sz w:val="20"/>
              </w:rPr>
              <w:t>dba</w:t>
            </w:r>
            <w:r>
              <w:rPr>
                <w:rFonts w:ascii="Times New Roman;Times;Serif" w:hAnsi="Times New Roman;Times;Serif"/>
                <w:b/>
                <w:i w:val="false"/>
                <w:caps w:val="false"/>
                <w:smallCaps w:val="false"/>
                <w:sz w:val="20"/>
              </w:rPr>
              <w:t xml:space="preserve"> SEGG Media Corporation (“SEGG”) and UCIL Termination Notice – Effective Immediately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UCIL, Mr. Battles, Mr. McGahan and Mr. Marsh: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recent SEGG Board of Directors (the “Board”) special meeting held on January 20, 2026, the Board determined that it is in the best interest of the Company and its shareholders to terminate the financing arrangement with United Capital Investments London Limited (“UCIL”) originally entered into on July 23, 2023, subsequently amended and restated on August 8, 2023, later amended on August 18, 2023, and finally amended and restated on February 16, 2024 (collectively, as amended and restated, the “UCIL Loan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advised you that the UCIL Loan Agreement is voidable. We are now informing you that the UCIL Loan Agreement is hereby terminated effective immediately (“Termination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Termination Notice does not constitute a waiver of any of SEGG’s rights. SEGG reserves all rights in law and in equity.</w:t>
      </w:r>
    </w:p>
    <w:p>
      <w:pPr>
        <w:pStyle w:val="TextBody"/>
        <w:bidi w:val="0"/>
        <w:spacing w:before="0" w:after="0"/>
        <w:ind w:left="0" w:right="0" w:hanging="0"/>
        <w:jc w:val="both"/>
        <w:rPr>
          <w:caps w:val="false"/>
          <w:smallCaps w:val="false"/>
        </w:rPr>
      </w:pPr>
      <w:r>
        <w:rPr>
          <w:caps w:val="false"/>
          <w:smallCaps w:val="false"/>
        </w:rPr>
        <w:t> </w:t>
      </w:r>
    </w:p>
    <w:tbl>
      <w:tblPr>
        <w:tblW w:w="8210" w:type="dxa"/>
        <w:jc w:val="left"/>
        <w:tblInd w:w="0" w:type="dxa"/>
        <w:tblLayout w:type="fixed"/>
        <w:tblCellMar>
          <w:top w:w="0" w:type="dxa"/>
          <w:left w:w="0" w:type="dxa"/>
          <w:bottom w:w="0" w:type="dxa"/>
          <w:right w:w="0" w:type="dxa"/>
        </w:tblCellMar>
      </w:tblPr>
      <w:tblGrid>
        <w:gridCol w:w="60"/>
        <w:gridCol w:w="8150"/>
      </w:tblGrid>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1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Sincerely,</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1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15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Robert J. Stubblefield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Interim Chief Executive Officer and President SEGG Media Corporation</w:t>
            </w:r>
          </w:p>
        </w:tc>
      </w:tr>
    </w:tbl>
    <w:p>
      <w:pPr>
        <w:pStyle w:val="TextBody"/>
        <w:bidi w:val="0"/>
        <w:spacing w:before="0" w:after="0"/>
        <w:ind w:left="0" w:right="0" w:hanging="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275"/>
        <w:gridCol w:w="2930"/>
      </w:tblGrid>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Bircham Greg Potts</w:t>
            </w:r>
          </w:p>
        </w:tc>
      </w:tr>
      <w:tr>
        <w:trPr/>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Gooding Tamer Hassan</w:t>
            </w:r>
          </w:p>
        </w:tc>
      </w:tr>
      <w:tr>
        <w:trPr/>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Warren Macal</w:t>
            </w:r>
          </w:p>
        </w:tc>
      </w:tr>
      <w:tr>
        <w:trPr/>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Jordan</w:t>
            </w:r>
          </w:p>
        </w:tc>
      </w:tr>
    </w:tbl>
    <w:p>
      <w:pPr>
        <w:pStyle w:val="TextBody"/>
        <w:bidi w:val="0"/>
        <w:spacing w:before="0" w:after="0"/>
        <w:ind w:left="743" w:right="6254"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43"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854" w:name="ex10-67.htm"/>
      <w:bookmarkStart w:id="855" w:name="ksex1067"/>
      <w:bookmarkEnd w:id="854"/>
      <w:bookmarkEnd w:id="85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10.67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AGREEMENT</w:t>
      </w:r>
    </w:p>
    <w:p>
      <w:pPr>
        <w:pStyle w:val="TextBody"/>
        <w:bidi w:val="0"/>
        <w:spacing w:before="0" w:after="0"/>
        <w:ind w:left="2"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TERMINATION AGREEMENT (this “</w:t>
      </w:r>
      <w:r>
        <w:rPr>
          <w:rFonts w:ascii="Times New Roman;Times;Serif" w:hAnsi="Times New Roman;Times;Serif"/>
          <w:b/>
          <w:i/>
          <w:caps w:val="false"/>
          <w:smallCaps w:val="false"/>
          <w:sz w:val="20"/>
        </w:rPr>
        <w:t>Termination Agreement</w:t>
      </w:r>
      <w:r>
        <w:rPr>
          <w:rFonts w:ascii="Times New Roman;Times;Serif" w:hAnsi="Times New Roman;Times;Serif"/>
          <w:b w:val="false"/>
          <w:i w:val="false"/>
          <w:caps w:val="false"/>
          <w:smallCaps w:val="false"/>
          <w:sz w:val="20"/>
        </w:rPr>
        <w:t>”) is made and entered into as of January 26, 2026, by and among Lottery.com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Evergreen Capital Management, LLC, a Nevada company (the “</w:t>
      </w:r>
      <w:r>
        <w:rPr>
          <w:rFonts w:ascii="Times New Roman;Times;Serif" w:hAnsi="Times New Roman;Times;Serif"/>
          <w:b/>
          <w:i/>
          <w:caps w:val="false"/>
          <w:smallCaps w:val="false"/>
          <w:sz w:val="20"/>
        </w:rPr>
        <w:t>Purchaser</w:t>
      </w:r>
      <w:r>
        <w:rPr>
          <w:rFonts w:ascii="Times New Roman;Times;Serif" w:hAnsi="Times New Roman;Times;Serif"/>
          <w:b w:val="false"/>
          <w:i w:val="false"/>
          <w:caps w:val="false"/>
          <w:smallCaps w:val="false"/>
          <w:sz w:val="20"/>
        </w:rPr>
        <w:t>”, and together with the Company, the “</w:t>
      </w:r>
      <w:r>
        <w:rPr>
          <w:rFonts w:ascii="Times New Roman;Times;Serif" w:hAnsi="Times New Roman;Times;Serif"/>
          <w:b/>
          <w:i/>
          <w:caps w:val="false"/>
          <w:smallCaps w:val="false"/>
          <w:sz w:val="20"/>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Capitalized terms used but not defined herein shall have the meaning ascribed to them in the Note (as defined below) or Purchase Agreement (as defined below),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issued that certain Senior Secured Convertible Promissory Note to the Purchaser on December 2, 2025, as amended by Amendment No. 1 to the Senior Secured Convertible Promissory Note, dated as of January 21, 2026, between the Company, as the borrower, and the Purchaser, as the holder (the “</w:t>
      </w:r>
      <w:r>
        <w:rPr>
          <w:rFonts w:ascii="Times New Roman;Times;Serif" w:hAnsi="Times New Roman;Times;Serif"/>
          <w:b/>
          <w:i/>
          <w:caps w:val="false"/>
          <w:smallCaps w:val="false"/>
          <w:sz w:val="20"/>
        </w:rPr>
        <w:t>Note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the Purchaser have entered into that certain Securities Purchase Agreement, dated as of December 2, 2025, between the Company and the Purchaser (the “</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and together with the Note, the “</w:t>
      </w:r>
      <w:r>
        <w:rPr>
          <w:rFonts w:ascii="Times New Roman;Times;Serif" w:hAnsi="Times New Roman;Times;Serif"/>
          <w:b/>
          <w:i/>
          <w:caps w:val="false"/>
          <w:smallCaps w:val="false"/>
          <w:sz w:val="20"/>
        </w:rPr>
        <w:t>Transaction Document(s)</w:t>
      </w:r>
      <w:r>
        <w:rPr>
          <w:rFonts w:ascii="Times New Roman;Times;Serif" w:hAnsi="Times New Roman;Times;Serif"/>
          <w:b w:val="false"/>
          <w:i w:val="false"/>
          <w:caps w:val="false"/>
          <w:smallCaps w:val="false"/>
          <w:sz w:val="20"/>
        </w:rPr>
        <w:t>”), pursuant to which the Company issued the Note to the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connection with the consummation of the transactions contemplated by the Purchase Agreement, the Parties hereto desire to terminate the Note and the Purchase Agreement on the terms and subject to the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AGREEMENTS</w:t>
      </w:r>
    </w:p>
    <w:p>
      <w:pPr>
        <w:pStyle w:val="TextBody"/>
        <w:bidi w:val="0"/>
        <w:spacing w:before="0" w:after="0"/>
        <w:ind w:left="4"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in consideration of the premises set forth above and other good and valuable consideration, the receipt and sufficiency of which are hereby acknowledged,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Termination of the Note and the Purchase Agreement</w:t>
      </w:r>
      <w:r>
        <w:rPr>
          <w:rFonts w:ascii="Times New Roman;Times;Serif" w:hAnsi="Times New Roman;Times;Serif"/>
          <w:b w:val="false"/>
          <w:i w:val="false"/>
          <w:caps w:val="false"/>
          <w:smallCaps w:val="false"/>
          <w:sz w:val="20"/>
        </w:rPr>
        <w:t>. Subject to the terms and conditions of this Termination Agreement, the Note and the Purchase Agreement are hereby terminated effective as of the date of the delivery to the Purchaser of the Common Shares pursuant to that certain Conversion Notice #7 delivered by the Purchaser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dated as of January 13, 2026 (“</w:t>
      </w:r>
      <w:r>
        <w:rPr>
          <w:rFonts w:ascii="Times New Roman;Times;Serif" w:hAnsi="Times New Roman;Times;Serif"/>
          <w:b/>
          <w:i/>
          <w:caps w:val="false"/>
          <w:smallCaps w:val="false"/>
          <w:sz w:val="20"/>
        </w:rPr>
        <w:t>Conversion Notice #7</w:t>
      </w:r>
      <w:r>
        <w:rPr>
          <w:rFonts w:ascii="Times New Roman;Times;Serif" w:hAnsi="Times New Roman;Times;Serif"/>
          <w:b w:val="false"/>
          <w:i w:val="false"/>
          <w:caps w:val="false"/>
          <w:smallCaps w:val="false"/>
          <w:sz w:val="20"/>
        </w:rPr>
        <w:t>”). From and after the Effective Date, the Note and the Purchase Agreement will be null, void, and of no further force or effect, the rights and obligations of each of the Parties thereunder shall terminate in their entirety, and no further payments will be due, or will become due, under or in respect of the Note or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Party hereby represents and warrants to the other Party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has the full right, power, and authority to enter into this Termination Agreement and to perform its obligations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of this Termination Agreement by the individual whose signature is set forth at the end of this Termination Agreement on behalf of such Party, and the delivery of this Termination Agreement by such Party, have been duly authorized by all necessary action on the part of such Party.</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Termination Agreement has been executed and delivered by such Party and (assuming due authorization, execution, and delivery by the other Party hereto) constitutes the legal, valid, and binding obligation of such Party, enforceable against such Party in accordance with its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FOR THE EXPRESS REPRESENTATIONS AND WARRANTIES SET FORTH IN THIS TERMINATION AGREEMENT, (i) NEITHER PARTY HERETO NOR ANY PERSON ON SUCH PARTY’S BEHALF HAS MADE OR MAKES ANY EXPRESS OR IMPLIED REPRESENTATION OR WARRANTY WHATSOEVER, EITHER ORAL OR WRITTEN, WHETHER ARISING BY LAW, COURSE OF DEALING, COURSE OF PERFORMANCE, USAGE OF TRADE OR OTHERWISE, ALL OF WHICH ARE EXPRESSLY DISCLAIMED, AND (ii) EACH PARTY HERETO ACKNOWLEDGES THAT, IN ENTERING INTO THIS TERMINATION AGREEMENT, IT HAS NOT RELIED UPON ANY REPRESENTATION OR WARRANTY MADE BY THE OTHER PARTY, OR ANY OTHER PERSON ON SUCH OTHER PARTY’S BEHALF, EXCEPT AS SPECIFICALLY PROVIDED IN THIS TERMINATION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$500,000 initial investment and $75,000 original issue discount (“</w:t>
      </w:r>
      <w:r>
        <w:rPr>
          <w:rFonts w:ascii="Times New Roman;Times;Serif" w:hAnsi="Times New Roman;Times;Serif"/>
          <w:b/>
          <w:i/>
          <w:caps w:val="false"/>
          <w:smallCaps w:val="false"/>
          <w:sz w:val="20"/>
        </w:rPr>
        <w:t>OID</w:t>
      </w:r>
      <w:r>
        <w:rPr>
          <w:rFonts w:ascii="Times New Roman;Times;Serif" w:hAnsi="Times New Roman;Times;Serif"/>
          <w:b w:val="false"/>
          <w:i w:val="false"/>
          <w:caps w:val="false"/>
          <w:smallCaps w:val="false"/>
          <w:sz w:val="20"/>
        </w:rPr>
        <w:t>”) amount, as contemplated by the Note and the Purchase Agreement, have been converted, and there is no remaining amount owed to either Party under the Note and the Purchase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covenants were breached and no Events of Default (as defined in the Note) have occurred under the Note through the date of this Termination Agreement. If the Company breached any covenants or an Event of Default occurred under the Note, the Purchaser shall not be entitled to the rights and remedies under the Note for such breach or Event of Default as of the date of such breach or occurrence.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Opinion Letters</w:t>
      </w:r>
      <w:r>
        <w:rPr>
          <w:rFonts w:ascii="Times New Roman;Times;Serif" w:hAnsi="Times New Roman;Times;Serif"/>
          <w:b w:val="false"/>
          <w:i w:val="false"/>
          <w:caps w:val="false"/>
          <w:smallCaps w:val="false"/>
          <w:sz w:val="20"/>
        </w:rPr>
        <w:t>. The Company agrees to deliver to the Purchaser an opinion letter from its legal counsel in connection with the remaining Common Shares pursuant to Conversion Notice #7 within one (1) business day after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Non-Disparagement</w:t>
      </w:r>
      <w:r>
        <w:rPr>
          <w:rFonts w:ascii="Times New Roman;Times;Serif" w:hAnsi="Times New Roman;Times;Serif"/>
          <w:b w:val="false"/>
          <w:i w:val="false"/>
          <w:caps w:val="false"/>
          <w:smallCaps w:val="false"/>
          <w:sz w:val="20"/>
        </w:rPr>
        <w:t>. Both Parties agree not to disparage the other party, and the other party’s attorneys, directors, managers, partners, employees, agents and affiliates, in any manner likely to be harmful to them or their business, business reputation or personal reputation; provided that both Parties may respond accurately and fully to any question, inquiry or request for information when required by legal process.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Filing of 8-K</w:t>
      </w:r>
      <w:r>
        <w:rPr>
          <w:rFonts w:ascii="Times New Roman;Times;Serif" w:hAnsi="Times New Roman;Times;Serif"/>
          <w:b w:val="false"/>
          <w:i w:val="false"/>
          <w:caps w:val="false"/>
          <w:smallCaps w:val="false"/>
          <w:sz w:val="20"/>
        </w:rPr>
        <w:t>. The Company shall file a Current Report on Form 8-K with the U.S. Securities and Exchange Commission to announce the entry of the Parties into this Termination Agreement within four (4) business days after the date hereof, and the Company shall permit the Purchaser a reasonable opportunity to review such Current Report on Form 8-K before it is filed.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Delivery of Common Shares</w:t>
      </w:r>
      <w:r>
        <w:rPr>
          <w:rFonts w:ascii="Times New Roman;Times;Serif" w:hAnsi="Times New Roman;Times;Serif"/>
          <w:b w:val="false"/>
          <w:i w:val="false"/>
          <w:caps w:val="false"/>
          <w:smallCaps w:val="false"/>
          <w:sz w:val="20"/>
        </w:rPr>
        <w:t>. The Parties acknowledge that the Common Shares deliverable to the Purchaser pursuant to Conversion Notice #7 have been issued by the Company, and the Company shall authorize its transfer agent to deliver the shares pursuant to Conversion Notice #7 to Purchaser within one (1) business day after the date hereof.</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In further consideration for the execution of this Termination Agreement by each Party and without limiting any rights or remedies that each Party may have, each Party hereby releases each other and each of its Related Parties (each a “</w:t>
      </w:r>
      <w:r>
        <w:rPr>
          <w:rFonts w:ascii="Times New Roman;Times;Serif" w:hAnsi="Times New Roman;Times;Serif"/>
          <w:b w:val="false"/>
          <w:i w:val="false"/>
          <w:caps w:val="false"/>
          <w:smallCaps w:val="false"/>
          <w:sz w:val="20"/>
          <w:u w:val="single"/>
        </w:rPr>
        <w:t>Releasee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Releasees</w:t>
      </w:r>
      <w:r>
        <w:rPr>
          <w:rFonts w:ascii="Times New Roman;Times;Serif" w:hAnsi="Times New Roman;Times;Serif"/>
          <w:b w:val="false"/>
          <w:i w:val="false"/>
          <w:caps w:val="false"/>
          <w:smallCaps w:val="false"/>
          <w:sz w:val="20"/>
        </w:rPr>
        <w:t>”) from any and all Claims that each Party or any of its Subsidiaries has or may have against any Releasee, under the Note or any other Transaction Document, any obligation or liability owing thereunder and any legal relationship that exists or may exist between any Releasee and any of the Parties or any of their Subsidiaries under the Note or any other Transaction Document. Each Party, for itself and for its Subsidiaries, acknowledges and agrees that it or its Subsidiaries may discover information later that could have affected materially their willingness to agree to the release in this paragraph and that neither such possibility, which it took into account when executing this amendment, nor such discovery, as to which it expressly assumes the risk, shall affect the effectiveness of the release in this paragraph, and waives the benefit of any legal requirement that may provide otherwise. As used in this paragraph, (A)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means all liabilities, rights, demands, covenants, default or Event of Default, duties, obligations (including, without limitation, indebtedness, receivables and other contractual obligations), claims, actions and causes of actions, suits, disputes, judgments, damages, settlements, losses, debts, responsibilities, fines, penalties, sanctions, commissions and interest, disbursements, taxes, charges, interest, costs, fees and expenses (including, without limitation, fees, charges and disbursements of financial, legal and other advisors, consultants and professionals and, if applicable, any value-added and other taxes and charges thereon), in each case of any kind or nature, whether joint or several, whether now existing or hereafter arising and however acquired and whether or not known, asserted, direct, contingent, liquidated, due, consequential, actual, punitive or treble and (B) “</w:t>
      </w:r>
      <w:r>
        <w:rPr>
          <w:rFonts w:ascii="Times New Roman;Times;Serif" w:hAnsi="Times New Roman;Times;Serif"/>
          <w:b w:val="false"/>
          <w:i w:val="false"/>
          <w:caps w:val="false"/>
          <w:smallCaps w:val="false"/>
          <w:sz w:val="20"/>
          <w:u w:val="single"/>
        </w:rPr>
        <w:t>Related Party</w:t>
      </w:r>
      <w:r>
        <w:rPr>
          <w:rFonts w:ascii="Times New Roman;Times;Serif" w:hAnsi="Times New Roman;Times;Serif"/>
          <w:b w:val="false"/>
          <w:i w:val="false"/>
          <w:caps w:val="false"/>
          <w:smallCaps w:val="false"/>
          <w:sz w:val="20"/>
        </w:rPr>
        <w:t>” means, with respect to any Subject Person, any Affiliate of such Subject Person or of another Related Party of such Subject Person and such Subject Person’s and such Affiliate’s predecessors, successors, assigns, managers, members, partners, directors, officers, staff members (including, without limitation, individuals with independent contractor or similar status), agents, attorneys-in-fact, trustees, fiduciaries, representatives and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Termination Agreement shall be governed by and construed and enforced in accordance with the internal, substantive Laws of the State of Delaware, without giving effect to the conflict of Laws principles that would apply the Laws of any other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Termination Agreement shall not be amended, modified or supplemented in any manner, whether by course of conduct or otherwise, except by an instrument in writing executed and delivered by an authorized representative of each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Neither Party may assign, transfer, or delegate any or all of its rights or obligations under this Termination Agreement without the prior written consent of the other Party. Any attempted assignment, transfer, or other conveyance in violation of the foregoing will be null and void. This Termination Agreement will inure to the benefit of and be binding upon each of the Parties and each of their respective permitted successors and permitted assigns.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drafted this Termination Agreement without regard to any presumption or rule requiring construction or interpretation against the Party drafting an instrument or causing any instrument to be drafted.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provision of this Termination Agreement is invalid, illegal, or unenforceable in any jurisdiction, such invalidity, illegality, or unenforceability shall not affect any other term or provision of this Termination Agreement or invalidate or render unenforceable such term or provision in any other jurisdiction. Upon such determination that any term or other provision is invalid, illegal, or unenforceable, the Parties hereto shall negotiate in good faith to modify this Termination Agreement so as to effect the original intent of the Parties as closely as possible in a mutually acceptable manner in order that the transactions contemplated hereby be consummated as originally contemplated to the greatest extent possible.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of the Parties shall, and shall cause its respective affiliates to, from time to time at the request and sole expense of the other Party, furnish the other Party such further information or assurances, execute and deliver such additional documents, instruments and conveyances, and take such other actions and do such other things, as may be reasonably necessary or appropriate to carry out the provisions of this Termination Agreement and give effect to the transactions contemplated hereby and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Termination Agreement benefits solely the Parties hereto and their respective permitted successors and permitted assigns, and nothing in this Termination Agreement, express or implied, confers on any other person or entity any legal or equitable right, benefit, or remedy of any nature whatsoever under or by reason of this Termination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Termination Agreement may be executed in one or more counterparts, each of which shall be deemed to be an original and all of which together shall be deemed to be one and the same instrument. This Termination Agreement may be executed by facsimile, portable document format (pdf) or other electronically or mechanically reproduced signature and such signature shall constitute an original signature for all purposes notwithstanding any statute or decisional law to the contrary.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Each party shall pay their own legal fees, other costs and expenses of negotiating, preparing, executing and performing its obligations under this Termination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4"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4"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and delivered this Termination Agreement effective as of the date first set forth above.</w:t>
      </w:r>
    </w:p>
    <w:p>
      <w:pPr>
        <w:pStyle w:val="TextBody"/>
        <w:bidi w:val="0"/>
        <w:spacing w:before="0" w:after="0"/>
        <w:ind w:left="0" w:right="0" w:firstLine="72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545"/>
        <w:gridCol w:w="3035"/>
      </w:tblGrid>
      <w:tr>
        <w:trPr/>
        <w:tc>
          <w:tcPr>
            <w:tcW w:w="75" w:type="dxa"/>
            <w:tcBorders/>
            <w:vAlign w:val="center"/>
          </w:tcPr>
          <w:p>
            <w:pPr>
              <w:pStyle w:val="TableContents"/>
              <w:bidi w:val="0"/>
              <w:spacing w:before="0" w:after="283"/>
              <w:jc w:val="left"/>
              <w:rPr/>
            </w:pPr>
            <w:r>
              <w:rPr/>
              <w:t> </w:t>
            </w:r>
          </w:p>
        </w:tc>
        <w:tc>
          <w:tcPr>
            <w:tcW w:w="3580"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LOTTERY.COM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0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J. Stubblefield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Interim 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4765"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TERMINATION AGREEMENT</w:t>
      </w:r>
    </w:p>
    <w:p>
      <w:pPr>
        <w:pStyle w:val="TextBody"/>
        <w:bidi w:val="0"/>
        <w:spacing w:before="0" w:after="0"/>
        <w:ind w:left="4765"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and delivered this Termination Agreement effective as of the date first set forth above.</w:t>
      </w:r>
    </w:p>
    <w:p>
      <w:pPr>
        <w:pStyle w:val="TextBody"/>
        <w:bidi w:val="0"/>
        <w:spacing w:before="0" w:after="0"/>
        <w:ind w:left="0" w:right="0" w:firstLine="720"/>
        <w:jc w:val="left"/>
        <w:rPr>
          <w:caps w:val="false"/>
          <w:smallCaps w:val="false"/>
        </w:rPr>
      </w:pPr>
      <w:r>
        <w:rPr>
          <w:caps w:val="false"/>
          <w:smallCaps w:val="false"/>
        </w:rPr>
        <w:t> </w:t>
      </w:r>
    </w:p>
    <w:tbl>
      <w:tblPr>
        <w:tblW w:w="5374" w:type="dxa"/>
        <w:jc w:val="left"/>
        <w:tblInd w:w="0" w:type="dxa"/>
        <w:tblLayout w:type="fixed"/>
        <w:tblCellMar>
          <w:top w:w="0" w:type="dxa"/>
          <w:left w:w="0" w:type="dxa"/>
          <w:bottom w:w="0" w:type="dxa"/>
          <w:right w:w="0" w:type="dxa"/>
        </w:tblCellMar>
      </w:tblPr>
      <w:tblGrid>
        <w:gridCol w:w="75"/>
        <w:gridCol w:w="1558"/>
        <w:gridCol w:w="3741"/>
      </w:tblGrid>
      <w:tr>
        <w:trPr/>
        <w:tc>
          <w:tcPr>
            <w:tcW w:w="75" w:type="dxa"/>
            <w:tcBorders/>
            <w:vAlign w:val="center"/>
          </w:tcPr>
          <w:p>
            <w:pPr>
              <w:pStyle w:val="TableContents"/>
              <w:bidi w:val="0"/>
              <w:spacing w:before="0" w:after="283"/>
              <w:jc w:val="left"/>
              <w:rPr/>
            </w:pPr>
            <w:r>
              <w:rPr/>
              <w:t> </w:t>
            </w:r>
          </w:p>
        </w:tc>
        <w:tc>
          <w:tcPr>
            <w:tcW w:w="529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EVERGREEN CAPITAL MANAGEMENT, LLC</w:t>
            </w:r>
          </w:p>
        </w:tc>
      </w:tr>
      <w:tr>
        <w:trPr/>
        <w:tc>
          <w:tcPr>
            <w:tcW w:w="75"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left"/>
              <w:rPr/>
            </w:pPr>
            <w:r>
              <w:rPr/>
              <w:t> </w:t>
            </w:r>
          </w:p>
        </w:tc>
        <w:tc>
          <w:tcPr>
            <w:tcW w:w="37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741" w:type="dxa"/>
            <w:tcBorders>
              <w:bottom w:val="single" w:sz="8" w:space="0" w:color="000000"/>
            </w:tcBorders>
            <w:tcMar>
              <w:bottom w:w="28" w:type="dxa"/>
            </w:tcMar>
            <w:vAlign w:val="center"/>
          </w:tcPr>
          <w:p>
            <w:pPr>
              <w:pStyle w:val="TableContents"/>
              <w:bidi w:val="0"/>
              <w:spacing w:before="0" w:after="283"/>
              <w:jc w:val="left"/>
              <w:rPr/>
            </w:pPr>
            <w:r>
              <w:rPr/>
              <w:drawing>
                <wp:inline distT="0" distB="0" distL="0" distR="0">
                  <wp:extent cx="981075" cy="5715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85"/>
                          <a:stretch>
                            <a:fillRect/>
                          </a:stretch>
                        </pic:blipFill>
                        <pic:spPr bwMode="auto">
                          <a:xfrm>
                            <a:off x="0" y="0"/>
                            <a:ext cx="981075" cy="571500"/>
                          </a:xfrm>
                          <a:prstGeom prst="rect">
                            <a:avLst/>
                          </a:prstGeom>
                        </pic:spPr>
                      </pic:pic>
                    </a:graphicData>
                  </a:graphic>
                </wp:inline>
              </w:drawing>
            </w:r>
          </w:p>
        </w:tc>
      </w:tr>
      <w:tr>
        <w:trPr/>
        <w:tc>
          <w:tcPr>
            <w:tcW w:w="75"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7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Jeff Pazdro</w:t>
            </w:r>
          </w:p>
        </w:tc>
      </w:tr>
      <w:tr>
        <w:trPr/>
        <w:tc>
          <w:tcPr>
            <w:tcW w:w="75"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7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Manager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765"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TERMINATION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4765" w:right="0" w:hanging="0"/>
        <w:jc w:val="center"/>
        <w:rPr>
          <w:caps w:val="false"/>
          <w:smallCaps w:val="false"/>
        </w:rPr>
      </w:pPr>
      <w:bookmarkStart w:id="856" w:name="ex21-1.htm"/>
      <w:bookmarkStart w:id="857" w:name="ksex211"/>
      <w:bookmarkEnd w:id="856"/>
      <w:bookmarkEnd w:id="85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 of Sports Entertainment Gaming Global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list of the subsidiaries of Sports Entertainment Gaming Global Corporation (the “Company”) as of April 1, 2026:</w:t>
      </w:r>
    </w:p>
    <w:p>
      <w:pPr>
        <w:pStyle w:val="TextBody"/>
        <w:bidi w:val="0"/>
        <w:spacing w:before="0" w:after="0"/>
        <w:ind w:left="0" w:right="0" w:hanging="0"/>
        <w:jc w:val="left"/>
        <w:rPr>
          <w:caps w:val="false"/>
          <w:smallCaps w:val="false"/>
        </w:rPr>
      </w:pPr>
      <w:r>
        <w:rPr>
          <w:caps w:val="false"/>
          <w:smallCaps w:val="false"/>
        </w:rPr>
        <w:t> </w:t>
      </w:r>
    </w:p>
    <w:tbl>
      <w:tblPr>
        <w:tblW w:w="7675" w:type="dxa"/>
        <w:jc w:val="left"/>
        <w:tblInd w:w="0" w:type="dxa"/>
        <w:tblLayout w:type="fixed"/>
        <w:tblCellMar>
          <w:top w:w="0" w:type="dxa"/>
          <w:left w:w="0" w:type="dxa"/>
          <w:bottom w:w="28" w:type="dxa"/>
          <w:right w:w="0" w:type="dxa"/>
        </w:tblCellMar>
      </w:tblPr>
      <w:tblGrid>
        <w:gridCol w:w="5165"/>
        <w:gridCol w:w="60"/>
        <w:gridCol w:w="2450"/>
      </w:tblGrid>
      <w:tr>
        <w:trPr/>
        <w:tc>
          <w:tcPr>
            <w:tcW w:w="5165"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Subsidiary Name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Organization</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AutoLotto Inc.</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Gaming Enterprises Inc.</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ELECTRÓNICOS Y DE COMUNICACIÓN, S.A.P.I. DE C.V. </w:t>
            </w:r>
            <w:r>
              <w:rPr>
                <w:rFonts w:ascii="Times New Roman;Times;Serif" w:hAnsi="Times New Roman;Times;Serif"/>
                <w:b w:val="false"/>
                <w:i w:val="false"/>
                <w:caps w:val="false"/>
                <w:smallCaps w:val="false"/>
                <w:position w:val="7"/>
                <w:sz w:val="16"/>
                <w:sz w:val="20"/>
              </w:rPr>
              <w:t>(3)</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Mexico</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Juega Lotto </w:t>
            </w:r>
            <w:r>
              <w:rPr>
                <w:rFonts w:ascii="Times New Roman;Times;Serif" w:hAnsi="Times New Roman;Times;Serif"/>
                <w:b w:val="false"/>
                <w:i w:val="false"/>
                <w:caps w:val="false"/>
                <w:smallCaps w:val="false"/>
                <w:position w:val="7"/>
                <w:sz w:val="16"/>
                <w:sz w:val="20"/>
              </w:rPr>
              <w:t>(3)</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Mexico</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Tinbu LLC</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Florida</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LDC WinTogether Inc.</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Texas</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LDC IP Holdings Inc.</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Sports.com Media Group Ltd</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Sports.com Studios Ltd</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Lottery.com International LTD</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DotCom Ventures Inc.</w:t>
            </w:r>
            <w:r>
              <w:rPr>
                <w:rFonts w:ascii="Times New Roman;Times;Serif" w:hAnsi="Times New Roman;Times;Serif"/>
                <w:b w:val="false"/>
                <w:i w:val="false"/>
                <w:caps w:val="false"/>
                <w:smallCaps w:val="false"/>
                <w:position w:val="7"/>
                <w:sz w:val="16"/>
                <w:sz w:val="20"/>
              </w:rPr>
              <w:t>(4)</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Veloce ESports Ltd</w:t>
            </w:r>
            <w:r>
              <w:rPr>
                <w:rFonts w:ascii="Times New Roman;Times;Serif" w:hAnsi="Times New Roman;Times;Serif"/>
                <w:b w:val="false"/>
                <w:i w:val="false"/>
                <w:caps w:val="false"/>
                <w:smallCaps w:val="false"/>
                <w:position w:val="7"/>
                <w:sz w:val="16"/>
                <w:sz w:val="20"/>
              </w:rPr>
              <w:t>(5)</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Concerts.com</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w:t>
            </w:r>
          </w:p>
        </w:tc>
      </w:tr>
      <w:tr>
        <w:trPr/>
        <w:tc>
          <w:tcPr>
            <w:tcW w:w="51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Spektrum Ltd</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Cyprus</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1. The Company owns, directly or indirectly, 100% of the outstanding equity interests of each subsidiary listed above, except where otherwise indicated.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Certain subsidiaries may be omitted from this list as permitted under Item 601(b)(21) of Regulation S-K because, considered in the aggregate, they would not constitute a significant subsidiary as of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80% ownership through Global Gaming Enterprises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51% ownership as of the date of this report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68% ownership as of the date of this report.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858" w:name="ex31-1.htm"/>
      <w:bookmarkStart w:id="859" w:name="ksex311"/>
      <w:bookmarkEnd w:id="858"/>
      <w:bookmarkEnd w:id="85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ind w:left="20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Robert J. Stubblefield,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Report on Form 10-K of Sports Entertainment Gaming Global Corporation;</w:t>
            </w:r>
          </w:p>
        </w:tc>
      </w:tr>
      <w:tr>
        <w:trPr/>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responsible for establishing and maintaining disclosure controls and procedures (as defined in Exchange Act Rules 13a-15(e) and 15d-15(e)) and internal control over financial reporting (as defined in Exchange Act Rules 13a-15(f) and 15d-15 (f))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disclosed, based on my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1625"/>
        <w:gridCol w:w="380"/>
        <w:gridCol w:w="2585"/>
      </w:tblGrid>
      <w:tr>
        <w:trPr/>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10, 2026</w:t>
            </w:r>
          </w:p>
        </w:tc>
        <w:tc>
          <w:tcPr>
            <w:tcW w:w="380" w:type="dxa"/>
            <w:tcBorders/>
            <w:vAlign w:val="center"/>
          </w:tcPr>
          <w:p>
            <w:pPr>
              <w:pStyle w:val="TableContents"/>
              <w:bidi w:val="0"/>
              <w:spacing w:before="0" w:after="283"/>
              <w:jc w:val="left"/>
              <w:rPr/>
            </w:pPr>
            <w:r>
              <w:rPr>
                <w:rFonts w:ascii="Times New Roman;Times;Serif" w:hAnsi="Times New Roman;Times;Serif"/>
                <w:sz w:val="20"/>
              </w:rPr>
              <w:t>By:</w:t>
            </w:r>
            <w:r>
              <w:rPr/>
              <w:t xml:space="preserve"> </w:t>
            </w:r>
          </w:p>
        </w:tc>
        <w:tc>
          <w:tcPr>
            <w:tcW w:w="25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8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8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8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caps w:val="false"/>
          <w:smallCaps w:val="false"/>
        </w:rPr>
      </w:pPr>
      <w:bookmarkStart w:id="860" w:name="ex31-2.htm"/>
      <w:bookmarkStart w:id="861" w:name="ksex312"/>
      <w:bookmarkEnd w:id="860"/>
      <w:bookmarkEnd w:id="86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Robert J. Stubblefield,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Report on Form 10-K of Sports Entertainment Gaming Global Corporation;</w:t>
            </w:r>
          </w:p>
        </w:tc>
      </w:tr>
      <w:tr>
        <w:trPr/>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of the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disclosed, based on my most recent evaluation of internal control over financial reporting, to the registrant’s auditor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both"/>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6570" w:type="dxa"/>
        <w:jc w:val="left"/>
        <w:tblInd w:w="0" w:type="dxa"/>
        <w:tblLayout w:type="fixed"/>
        <w:tblCellMar>
          <w:top w:w="0" w:type="dxa"/>
          <w:left w:w="0" w:type="dxa"/>
          <w:bottom w:w="0" w:type="dxa"/>
          <w:right w:w="0" w:type="dxa"/>
        </w:tblCellMar>
      </w:tblPr>
      <w:tblGrid>
        <w:gridCol w:w="1625"/>
        <w:gridCol w:w="320"/>
        <w:gridCol w:w="4625"/>
      </w:tblGrid>
      <w:tr>
        <w:trPr/>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10,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Principal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862" w:name="ex32-1.htm"/>
      <w:bookmarkStart w:id="863" w:name="ksex321"/>
      <w:bookmarkEnd w:id="862"/>
      <w:bookmarkEnd w:id="86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 AS ADOPTED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Report of Sports Entertainment Gaming Global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on Form 10-K for the year ended December 31, 2025, as filed with the Securities and Exchange Commission on the date hereof (the “</w:t>
      </w:r>
      <w:r>
        <w:rPr>
          <w:rFonts w:ascii="Times New Roman;Times;Serif" w:hAnsi="Times New Roman;Times;Serif"/>
          <w:b w:val="false"/>
          <w:i w:val="false"/>
          <w:caps w:val="false"/>
          <w:smallCaps w:val="false"/>
          <w:sz w:val="20"/>
          <w:u w:val="single"/>
        </w:rPr>
        <w:t>Report</w:t>
      </w:r>
      <w:r>
        <w:rPr>
          <w:rFonts w:ascii="Times New Roman;Times;Serif" w:hAnsi="Times New Roman;Times;Serif"/>
          <w:b w:val="false"/>
          <w:i w:val="false"/>
          <w:caps w:val="false"/>
          <w:smallCaps w:val="false"/>
          <w:sz w:val="20"/>
        </w:rPr>
        <w:t>”), I, Matthew McGahan, Principal Executive Officer of the Company, certify, pursuant to 18 U.S.C. §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both"/>
              <w:rPr>
                <w:caps w:val="false"/>
                <w:smallCaps w:val="false"/>
              </w:rPr>
            </w:pPr>
            <w:r>
              <w:rPr>
                <w:caps w:val="false"/>
                <w:smallCaps w:val="false"/>
              </w:rPr>
              <w:t> </w:t>
            </w:r>
          </w:p>
        </w:tc>
        <w:tc>
          <w:tcPr>
            <w:tcW w:w="99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 at the dates and for the periods indicated.</w:t>
            </w:r>
          </w:p>
        </w:tc>
      </w:tr>
    </w:tbl>
    <w:p>
      <w:pPr>
        <w:pStyle w:val="TextBody"/>
        <w:bidi w:val="0"/>
        <w:spacing w:before="0" w:after="0"/>
        <w:ind w:left="0" w:right="0" w:hanging="0"/>
        <w:jc w:val="both"/>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1625"/>
        <w:gridCol w:w="320"/>
        <w:gridCol w:w="2585"/>
      </w:tblGrid>
      <w:tr>
        <w:trPr/>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10,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864" w:name="ex32-2.htm"/>
      <w:bookmarkStart w:id="865" w:name="ksex322"/>
      <w:bookmarkEnd w:id="864"/>
      <w:bookmarkEnd w:id="86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PURSUANT TO 18 U.S.C. SECTION 1350,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ADOPTED PURSUANT TO</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OF THE SARBANES-OXLEYACT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Report on Form 10-K for the period ended December 31, 2025 of Sports Entertainment Gaming Global Corporation, a Delaware corporation (the “Company”), as filed with the Securities and Exchange Commission on the date hereof (the “Report”), I, Robert Stubblefield, Chief Financial Officer and Principal Accounting Officer of the Company certify,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or15(d) of the Securities and Exchange Act of 1934, as amended; and</w:t>
            </w:r>
          </w:p>
        </w:tc>
      </w:tr>
      <w:tr>
        <w:trPr/>
        <w:tc>
          <w:tcPr>
            <w:tcW w:w="177" w:type="dxa"/>
            <w:tcBorders/>
            <w:vAlign w:val="center"/>
          </w:tcPr>
          <w:p>
            <w:pPr>
              <w:pStyle w:val="TableContents"/>
              <w:bidi w:val="0"/>
              <w:spacing w:before="0" w:after="283"/>
              <w:jc w:val="both"/>
              <w:rPr>
                <w:caps w:val="false"/>
                <w:smallCaps w:val="false"/>
              </w:rPr>
            </w:pPr>
            <w:r>
              <w:rPr>
                <w:caps w:val="false"/>
                <w:smallCaps w:val="false"/>
              </w:rPr>
              <w:t> </w:t>
            </w:r>
          </w:p>
        </w:tc>
        <w:tc>
          <w:tcPr>
            <w:tcW w:w="100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Report fairly presents, in all material respects, the financial condition and results of operation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7485" w:type="dxa"/>
        <w:jc w:val="left"/>
        <w:tblInd w:w="0" w:type="dxa"/>
        <w:tblLayout w:type="fixed"/>
        <w:tblCellMar>
          <w:top w:w="0" w:type="dxa"/>
          <w:left w:w="0" w:type="dxa"/>
          <w:bottom w:w="0" w:type="dxa"/>
          <w:right w:w="0" w:type="dxa"/>
        </w:tblCellMar>
      </w:tblPr>
      <w:tblGrid>
        <w:gridCol w:w="1145"/>
        <w:gridCol w:w="320"/>
        <w:gridCol w:w="6020"/>
      </w:tblGrid>
      <w:tr>
        <w:trPr/>
        <w:tc>
          <w:tcPr>
            <w:tcW w:w="1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10,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2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r>
      <w:tr>
        <w:trPr/>
        <w:tc>
          <w:tcPr>
            <w:tcW w:w="114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6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Stubblefield, Chief Financial Officer, Principal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both"/>
              <w:rPr/>
            </w:pPr>
            <w:r>
              <w:rPr/>
              <w:t>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73481/000121390021010982/ea136229ex2-1_tridentacqu.htm" TargetMode="External"/><Relationship Id="rId3" Type="http://schemas.openxmlformats.org/officeDocument/2006/relationships/hyperlink" Target="https://www.sec.gov/Archives/edgar/data/1673481/000149315226004344/ex3-1.htm" TargetMode="External"/><Relationship Id="rId4" Type="http://schemas.openxmlformats.org/officeDocument/2006/relationships/hyperlink" Target="https://www.sec.gov/Archives/edgar/data/1673481/000121390021056782/ea149673ex3-2_lottery.htm" TargetMode="External"/><Relationship Id="rId5" Type="http://schemas.openxmlformats.org/officeDocument/2006/relationships/hyperlink" Target="https://www.sec.gov/Archives/edgar/data/1673481/000161577418004826/s110634_ex4-1.htm" TargetMode="External"/><Relationship Id="rId6" Type="http://schemas.openxmlformats.org/officeDocument/2006/relationships/hyperlink" Target="https://www.sec.gov/Archives/edgar/data/1673481/000121390022017159/f10k2021ex4-2_lottery.htm" TargetMode="External"/><Relationship Id="rId7" Type="http://schemas.openxmlformats.org/officeDocument/2006/relationships/hyperlink" Target="https://www.sec.gov/Archives/edgar/data/1673481/000161577418004132/s110321_s1a.htm" TargetMode="External"/><Relationship Id="rId8" Type="http://schemas.openxmlformats.org/officeDocument/2006/relationships/hyperlink" Target="https://www.sec.gov/Archives/edgar/data/1673481/000161577418004826/s110634_ex10-3.htm" TargetMode="External"/><Relationship Id="rId9" Type="http://schemas.openxmlformats.org/officeDocument/2006/relationships/hyperlink" Target="https://www.sec.gov/Archives/edgar/data/1673481/000121390021056782/ea149673ex10-12_lottery.htm" TargetMode="External"/><Relationship Id="rId10" Type="http://schemas.openxmlformats.org/officeDocument/2006/relationships/hyperlink" Target="https://www.sec.gov/Archives/edgar/data/1673481/000121390021056782/ea149673ex10-13_lottery.htm" TargetMode="External"/><Relationship Id="rId11" Type="http://schemas.openxmlformats.org/officeDocument/2006/relationships/hyperlink" Target="https://www.sec.gov/Archives/edgar/data/1673481/000121390021056782/ea149673ex10-6_lottery.htm" TargetMode="External"/><Relationship Id="rId12" Type="http://schemas.openxmlformats.org/officeDocument/2006/relationships/hyperlink" Target="https://www.sec.gov/Archives/edgar/data/1673481/000121390021056782/ea149673ex10-8_lottery.htm" TargetMode="External"/><Relationship Id="rId13" Type="http://schemas.openxmlformats.org/officeDocument/2006/relationships/hyperlink" Target="https://www.sec.gov/Archives/edgar/data/1673481/000121390021056782/ea149673ex10-9_lottery.htm" TargetMode="External"/><Relationship Id="rId14" Type="http://schemas.openxmlformats.org/officeDocument/2006/relationships/hyperlink" Target="https://www.sec.gov/Archives/edgar/data/1673481/000121390022017159/f10k2021ex10-18_lottery.htm" TargetMode="External"/><Relationship Id="rId15" Type="http://schemas.openxmlformats.org/officeDocument/2006/relationships/hyperlink" Target="https://www.sec.gov/Archives/edgar/data/1673481/000121390022017159/f10k2021ex10-19_lottery.htm" TargetMode="External"/><Relationship Id="rId16" Type="http://schemas.openxmlformats.org/officeDocument/2006/relationships/hyperlink" Target="https://www.sec.gov/Archives/edgar/data/1673481/000121390022017159/f10k2021ex10-20_lottery.htm" TargetMode="External"/><Relationship Id="rId17" Type="http://schemas.openxmlformats.org/officeDocument/2006/relationships/hyperlink" Target="https://www.sec.gov/Archives/edgar/data/1673481/000121390022041017/ea163230ex10-1_lottery.htm" TargetMode="External"/><Relationship Id="rId18" Type="http://schemas.openxmlformats.org/officeDocument/2006/relationships/hyperlink" Target="https://www.sec.gov/Archives/edgar/data/1673481/000149315223016035/ex10-24.htm" TargetMode="External"/><Relationship Id="rId19" Type="http://schemas.openxmlformats.org/officeDocument/2006/relationships/hyperlink" Target="https://www.sec.gov/Archives/edgar/data/1673481/000149315223016035/ex10-25.htm" TargetMode="External"/><Relationship Id="rId20" Type="http://schemas.openxmlformats.org/officeDocument/2006/relationships/hyperlink" Target="https://www.sec.gov/Archives/edgar/data/1673481/000149315223029753/ex10-3.htm" TargetMode="External"/><Relationship Id="rId21" Type="http://schemas.openxmlformats.org/officeDocument/2006/relationships/hyperlink" Target="https://www.sec.gov/Archives/edgar/data/1673481/000149315223030096/ex10-1.htm" TargetMode="External"/><Relationship Id="rId22" Type="http://schemas.openxmlformats.org/officeDocument/2006/relationships/hyperlink" Target="https://www.sec.gov/Archives/edgar/data/1673481/000149315223018441/ex10-1.htm" TargetMode="External"/><Relationship Id="rId23" Type="http://schemas.openxmlformats.org/officeDocument/2006/relationships/hyperlink" Target="https://www.sec.gov/Archives/edgar/data/1673481/000149315223018441/ex10-2.htm" TargetMode="External"/><Relationship Id="rId24" Type="http://schemas.openxmlformats.org/officeDocument/2006/relationships/hyperlink" Target="https://www.sec.gov/Archives/edgar/data/1673481/000149315223021506/ex10-28.htm" TargetMode="External"/><Relationship Id="rId25" Type="http://schemas.openxmlformats.org/officeDocument/2006/relationships/hyperlink" Target="https://www.sec.gov/Archives/edgar/data/1673481/000164117225024882/ex10-40.htm" TargetMode="External"/><Relationship Id="rId26" Type="http://schemas.openxmlformats.org/officeDocument/2006/relationships/hyperlink" Target="https://www.sec.gov/Archives/edgar/data/1673481/000149315225024384/ex10-27.htm" TargetMode="External"/><Relationship Id="rId27" Type="http://schemas.openxmlformats.org/officeDocument/2006/relationships/hyperlink" Target="https://www.sec.gov/Archives/edgar/data/1673481/000149315225024384/ex10-35.htm" TargetMode="External"/><Relationship Id="rId28" Type="http://schemas.openxmlformats.org/officeDocument/2006/relationships/hyperlink" Target="https://www.sec.gov/Archives/edgar/data/1673481/000149315225024384/ex10-40.htm" TargetMode="External"/><Relationship Id="rId29" Type="http://schemas.openxmlformats.org/officeDocument/2006/relationships/hyperlink" Target="https://www.sec.gov/Archives/edgar/data/1673481/000149315225024384/ex10-41.htm" TargetMode="External"/><Relationship Id="rId30" Type="http://schemas.openxmlformats.org/officeDocument/2006/relationships/hyperlink" Target="https://www.sec.gov/Archives/edgar/data/1673481/000149315225024384/ex10-42.htm" TargetMode="External"/><Relationship Id="rId31" Type="http://schemas.openxmlformats.org/officeDocument/2006/relationships/hyperlink" Target="https://www.sec.gov/Archives/edgar/data/1673481/000149315225024384/ex10-43.htm" TargetMode="External"/><Relationship Id="rId32" Type="http://schemas.openxmlformats.org/officeDocument/2006/relationships/hyperlink" Target="https://www.sec.gov/Archives/edgar/data/1673481/000164117225024882/ex10-6.htm" TargetMode="External"/><Relationship Id="rId33" Type="http://schemas.openxmlformats.org/officeDocument/2006/relationships/hyperlink" Target="https://www.sec.gov/Archives/edgar/data/1673481/000149315224022440/ex10-50.htm" TargetMode="External"/><Relationship Id="rId34" Type="http://schemas.openxmlformats.org/officeDocument/2006/relationships/hyperlink" Target="https://www.sec.gov/Archives/edgar/data/1673481/000149315224022440/ex10-51.htm" TargetMode="External"/><Relationship Id="rId35" Type="http://schemas.openxmlformats.org/officeDocument/2006/relationships/hyperlink" Target="https://www.sec.gov/Archives/edgar/data/1673481/000149315225026120/ex10-60.htm" TargetMode="External"/><Relationship Id="rId36" Type="http://schemas.openxmlformats.org/officeDocument/2006/relationships/hyperlink" Target="https://www.sec.gov/Archives/edgar/data/1673481/000149315225026120/ex10-61.htm" TargetMode="External"/><Relationship Id="rId37" Type="http://schemas.openxmlformats.org/officeDocument/2006/relationships/hyperlink" Target="https://www.sec.gov/Archives/edgar/data/1673481/000149315223026320/ex10-1.htm" TargetMode="External"/><Relationship Id="rId38" Type="http://schemas.openxmlformats.org/officeDocument/2006/relationships/hyperlink" Target="https://www.sec.gov/Archives/edgar/data/1673481/000149315223021506/ex10-28.htm" TargetMode="External"/><Relationship Id="rId39" Type="http://schemas.openxmlformats.org/officeDocument/2006/relationships/hyperlink" Target="https://www.sec.gov/Archives/edgar/data/1673481/000149315223029753/ex10-3.htm" TargetMode="External"/><Relationship Id="rId40" Type="http://schemas.openxmlformats.org/officeDocument/2006/relationships/hyperlink" Target="https://www.sec.gov/Archives/edgar/data/1673481/000149315223030096/ex10-1.htm" TargetMode="External"/><Relationship Id="rId41" Type="http://schemas.openxmlformats.org/officeDocument/2006/relationships/hyperlink" Target="https://www.sec.gov/Archives/edgar/data/1673481/000149315226021291/ex10-70.htm" TargetMode="External"/><Relationship Id="rId42" Type="http://schemas.openxmlformats.org/officeDocument/2006/relationships/hyperlink" Target="https://www.sec.gov/Archives/edgar/data/1673481/000149315226021291/ex10-71.htm" TargetMode="External"/><Relationship Id="rId43" Type="http://schemas.openxmlformats.org/officeDocument/2006/relationships/hyperlink" Target="https://www.sec.gov/Archives/edgar/data/1673481/000149315226021291/ex10-72.htm" TargetMode="External"/><Relationship Id="rId44" Type="http://schemas.openxmlformats.org/officeDocument/2006/relationships/hyperlink" Target="https://www.sec.gov/Archives/edgar/data/1673481/000149315226021291/ex10-73.htm" TargetMode="External"/><Relationship Id="rId45" Type="http://schemas.openxmlformats.org/officeDocument/2006/relationships/hyperlink" Target="https://www.sec.gov/Archives/edgar/data/1673481/000149315226021291/ex10-74.htm" TargetMode="External"/><Relationship Id="rId46" Type="http://schemas.openxmlformats.org/officeDocument/2006/relationships/hyperlink" Target="https://www.sec.gov/Archives/edgar/data/1673481/000149315226021291/ex10-75.htm" TargetMode="External"/><Relationship Id="rId47" Type="http://schemas.openxmlformats.org/officeDocument/2006/relationships/hyperlink" Target="https://www.sec.gov/Archives/edgar/data/1673481/000149315226021291/ex10-76.htm" TargetMode="External"/><Relationship Id="rId48" Type="http://schemas.openxmlformats.org/officeDocument/2006/relationships/hyperlink" Target="https://www.sec.gov/Archives/edgar/data/1673481/000149315226002854/ex1-1.htm" TargetMode="External"/><Relationship Id="rId49" Type="http://schemas.openxmlformats.org/officeDocument/2006/relationships/hyperlink" Target="https://www.sec.gov/Archives/edgar/data/1673481/000149315226002854/ex10-1.htm" TargetMode="External"/><Relationship Id="rId50" Type="http://schemas.openxmlformats.org/officeDocument/2006/relationships/hyperlink" Target="https://www.sec.gov/Archives/edgar/data/1673481/000149315226007446/ex1-1.htm" TargetMode="External"/><Relationship Id="rId51" Type="http://schemas.openxmlformats.org/officeDocument/2006/relationships/hyperlink" Target="https://www.sec.gov/Archives/edgar/data/1673481/000149315226011299/ex1-1.htm" TargetMode="External"/><Relationship Id="rId52" Type="http://schemas.openxmlformats.org/officeDocument/2006/relationships/hyperlink" Target="https://www.sec.gov/Archives/edgar/data/1673481/000149315226011299/ex10-1.htm" TargetMode="External"/><Relationship Id="rId53" Type="http://schemas.openxmlformats.org/officeDocument/2006/relationships/hyperlink" Target="https://www.sec.gov/Archives/edgar/data/1673481/000149315226011299/ex10-2.htm" TargetMode="External"/><Relationship Id="rId54" Type="http://schemas.openxmlformats.org/officeDocument/2006/relationships/hyperlink" Target="https://www.sec.gov/Archives/edgar/data/1673481/000149315226011299/ex10-3.htm" TargetMode="External"/><Relationship Id="rId55" Type="http://schemas.openxmlformats.org/officeDocument/2006/relationships/image" Target="media/image1.jpeg"/><Relationship Id="rId56" Type="http://schemas.openxmlformats.org/officeDocument/2006/relationships/image" Target="media/image2.jpeg"/><Relationship Id="rId57" Type="http://schemas.openxmlformats.org/officeDocument/2006/relationships/image" Target="media/image3.jpeg"/><Relationship Id="rId58" Type="http://schemas.openxmlformats.org/officeDocument/2006/relationships/image" Target="media/image4.jpeg"/><Relationship Id="rId59" Type="http://schemas.openxmlformats.org/officeDocument/2006/relationships/image" Target="media/image5.jpeg"/><Relationship Id="rId60" Type="http://schemas.openxmlformats.org/officeDocument/2006/relationships/image" Target="media/image6.jpeg"/><Relationship Id="rId61" Type="http://schemas.openxmlformats.org/officeDocument/2006/relationships/image" Target="media/image7.jpeg"/><Relationship Id="rId62" Type="http://schemas.openxmlformats.org/officeDocument/2006/relationships/image" Target="media/image8.jpeg"/><Relationship Id="rId63" Type="http://schemas.openxmlformats.org/officeDocument/2006/relationships/image" Target="media/image9.jpeg"/><Relationship Id="rId64" Type="http://schemas.openxmlformats.org/officeDocument/2006/relationships/image" Target="media/image10.jpeg"/><Relationship Id="rId65" Type="http://schemas.openxmlformats.org/officeDocument/2006/relationships/image" Target="media/image11.jpeg"/><Relationship Id="rId66" Type="http://schemas.openxmlformats.org/officeDocument/2006/relationships/image" Target="media/image12.jpeg"/><Relationship Id="rId67" Type="http://schemas.openxmlformats.org/officeDocument/2006/relationships/image" Target="media/image13.jpeg"/><Relationship Id="rId68" Type="http://schemas.openxmlformats.org/officeDocument/2006/relationships/image" Target="media/image14.jpeg"/><Relationship Id="rId69" Type="http://schemas.openxmlformats.org/officeDocument/2006/relationships/image" Target="media/image15.jpeg"/><Relationship Id="rId70" Type="http://schemas.openxmlformats.org/officeDocument/2006/relationships/image" Target="media/image15.jpeg"/><Relationship Id="rId71" Type="http://schemas.openxmlformats.org/officeDocument/2006/relationships/image" Target="media/image15.jpeg"/><Relationship Id="rId72" Type="http://schemas.openxmlformats.org/officeDocument/2006/relationships/image" Target="media/image15.jpeg"/><Relationship Id="rId73" Type="http://schemas.openxmlformats.org/officeDocument/2006/relationships/image" Target="media/image15.jpeg"/><Relationship Id="rId74" Type="http://schemas.openxmlformats.org/officeDocument/2006/relationships/image" Target="media/image15.jpeg"/><Relationship Id="rId75" Type="http://schemas.openxmlformats.org/officeDocument/2006/relationships/image" Target="media/image15.jpeg"/><Relationship Id="rId76" Type="http://schemas.openxmlformats.org/officeDocument/2006/relationships/image" Target="media/image15.jpeg"/><Relationship Id="rId77" Type="http://schemas.openxmlformats.org/officeDocument/2006/relationships/image" Target="media/image15.jpeg"/><Relationship Id="rId78" Type="http://schemas.openxmlformats.org/officeDocument/2006/relationships/image" Target="media/image15.jpeg"/><Relationship Id="rId79" Type="http://schemas.openxmlformats.org/officeDocument/2006/relationships/image" Target="media/image15.jpeg"/><Relationship Id="rId80" Type="http://schemas.openxmlformats.org/officeDocument/2006/relationships/image" Target="media/image15.jpeg"/><Relationship Id="rId81" Type="http://schemas.openxmlformats.org/officeDocument/2006/relationships/image" Target="media/image16.jpeg"/><Relationship Id="rId82" Type="http://schemas.openxmlformats.org/officeDocument/2006/relationships/image" Target="media/image17.jpeg"/><Relationship Id="rId83" Type="http://schemas.openxmlformats.org/officeDocument/2006/relationships/image" Target="media/image18.jpeg"/><Relationship Id="rId84" Type="http://schemas.openxmlformats.org/officeDocument/2006/relationships/image" Target="media/image19.jpeg"/><Relationship Id="rId85" Type="http://schemas.openxmlformats.org/officeDocument/2006/relationships/image" Target="media/image20.jpeg"/><Relationship Id="rId86" Type="http://schemas.openxmlformats.org/officeDocument/2006/relationships/fontTable" Target="fontTable.xml"/><Relationship Id="rId8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112426</Words>
  <Characters>626629</Characters>
  <CharactersWithSpaces>739636</CharactersWithSpaces>
  <Paragraphs>16593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