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92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Sports Entertainment Gaming Global Corporation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C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7_edei--EntityFileNumber_c20260925"/>
            <w:bookmarkEnd w:id="6"/>
            <w:r>
              <w:rPr>
                <w:rFonts w:ascii="Times New Roman;Times;Serif" w:hAnsi="Times New Roman;Times;Serif"/>
                <w:b w:val="false"/>
                <w:i w:val="false"/>
                <w:caps w:val="false"/>
                <w:smallCaps w:val="false"/>
                <w:sz w:val="20"/>
              </w:rPr>
              <w:t>001-38508</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7_edei--EntityTaxIdentificationNum"/>
            <w:bookmarkEnd w:id="7"/>
            <w:r>
              <w:rPr>
                <w:rFonts w:ascii="Times New Roman;Times;Serif" w:hAnsi="Times New Roman;Times;Serif"/>
                <w:b w:val="false"/>
                <w:i w:val="false"/>
                <w:caps w:val="false"/>
                <w:smallCaps w:val="false"/>
                <w:sz w:val="20"/>
              </w:rPr>
              <w:t>81-1996183</w:t>
            </w:r>
          </w:p>
        </w:tc>
      </w:tr>
      <w:tr>
        <w:trPr/>
        <w:tc>
          <w:tcPr>
            <w:tcW w:w="221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4475"/>
        <w:gridCol w:w="60"/>
        <w:gridCol w:w="920"/>
      </w:tblGrid>
      <w:tr>
        <w:trPr/>
        <w:tc>
          <w:tcPr>
            <w:tcW w:w="4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val="false"/>
                <w:i w:val="false"/>
                <w:caps w:val="false"/>
                <w:smallCaps w:val="false"/>
                <w:sz w:val="20"/>
              </w:rPr>
              <w:t xml:space="preserve">5049 Edwards Ranch Rd., </w:t>
            </w:r>
            <w:bookmarkStart w:id="9" w:name="xdx_90A_edei--EntityAddressAddressLine2_"/>
            <w:bookmarkEnd w:id="9"/>
            <w:r>
              <w:rPr>
                <w:rFonts w:ascii="Times New Roman;Times;Serif" w:hAnsi="Times New Roman;Times;Serif"/>
                <w:b w:val="false"/>
                <w:i w:val="false"/>
                <w:caps w:val="false"/>
                <w:smallCaps w:val="false"/>
                <w:sz w:val="20"/>
              </w:rPr>
              <w:t xml:space="preserve">4th Floor, </w:t>
            </w:r>
            <w:bookmarkStart w:id="10" w:name="xdx_90E_edei--EntityAddressCityOrTown_c2"/>
            <w:bookmarkEnd w:id="10"/>
            <w:r>
              <w:rPr>
                <w:rFonts w:ascii="Times New Roman;Times;Serif" w:hAnsi="Times New Roman;Times;Serif"/>
                <w:b w:val="false"/>
                <w:i w:val="false"/>
                <w:caps w:val="false"/>
                <w:smallCaps w:val="false"/>
                <w:sz w:val="20"/>
              </w:rPr>
              <w:t xml:space="preserve">Fort Worth, </w:t>
            </w:r>
            <w:bookmarkStart w:id="11" w:name="xdx_909_edei--EntityAddressStateOrProvin"/>
            <w:bookmarkEnd w:id="11"/>
            <w:r>
              <w:rPr>
                <w:rFonts w:ascii="Times New Roman;Times;Serif" w:hAnsi="Times New Roman;Times;Serif"/>
                <w:b w:val="false"/>
                <w:i w:val="false"/>
                <w:caps w:val="false"/>
                <w:smallCaps w:val="false"/>
                <w:sz w:val="20"/>
              </w:rPr>
              <w:t>Texas</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 w:name="xdx_901_edei--EntityAddressPostalZipCode"/>
            <w:bookmarkEnd w:id="12"/>
            <w:r>
              <w:rPr>
                <w:rFonts w:ascii="Times New Roman;Times;Serif" w:hAnsi="Times New Roman;Times;Serif"/>
                <w:b w:val="false"/>
                <w:i w:val="false"/>
                <w:caps w:val="false"/>
                <w:smallCaps w:val="false"/>
                <w:sz w:val="20"/>
              </w:rPr>
              <w:t>76109</w:t>
            </w:r>
          </w:p>
        </w:tc>
      </w:tr>
      <w:tr>
        <w:trPr/>
        <w:tc>
          <w:tcPr>
            <w:tcW w:w="4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F_edei--CityAreaCode_c20260925__20"/>
      <w:bookmarkEnd w:id="13"/>
      <w:r>
        <w:rPr>
          <w:rFonts w:ascii="Times New Roman;Times;Serif" w:hAnsi="Times New Roman;Times;Serif"/>
          <w:b w:val="false"/>
          <w:i w:val="false"/>
          <w:caps w:val="false"/>
          <w:smallCaps w:val="false"/>
          <w:sz w:val="20"/>
        </w:rPr>
        <w:t xml:space="preserve">(737) </w:t>
      </w:r>
      <w:bookmarkStart w:id="14" w:name="xdx_90C_edei--LocalPhoneNumber_c20260925"/>
      <w:bookmarkEnd w:id="14"/>
      <w:r>
        <w:rPr>
          <w:rFonts w:ascii="Times New Roman;Times;Serif" w:hAnsi="Times New Roman;Times;Serif"/>
          <w:b w:val="false"/>
          <w:i w:val="false"/>
          <w:caps w:val="false"/>
          <w:smallCaps w:val="false"/>
          <w:sz w:val="20"/>
        </w:rPr>
        <w:t>787-3798</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283"/>
              <w:jc w:val="left"/>
              <w:rPr/>
            </w:pPr>
            <w:bookmarkStart w:id="15" w:name="xdx_903_edei--WrittenCommunications_c202"/>
            <w:bookmarkEnd w:id="15"/>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283"/>
              <w:jc w:val="left"/>
              <w:rPr/>
            </w:pPr>
            <w:bookmarkStart w:id="16" w:name="xdx_900_edei--SolicitingMaterial_c202609"/>
            <w:bookmarkEnd w:id="16"/>
            <w:r>
              <w:rPr/>
              <w:t>☐</w:t>
            </w:r>
          </w:p>
        </w:tc>
        <w:tc>
          <w:tcPr>
            <w:tcW w:w="7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283"/>
              <w:jc w:val="left"/>
              <w:rPr/>
            </w:pPr>
            <w:bookmarkStart w:id="18" w:name="xdx_90B_edei--PreCommencementIssuerTende"/>
            <w:bookmarkEnd w:id="18"/>
            <w:r>
              <w:rPr/>
              <w:t>☐</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89"/>
        <w:gridCol w:w="60"/>
        <w:gridCol w:w="1413"/>
        <w:gridCol w:w="60"/>
        <w:gridCol w:w="3083"/>
      </w:tblGrid>
      <w:tr>
        <w:trPr/>
        <w:tc>
          <w:tcPr>
            <w:tcW w:w="558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08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58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925"/>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TradingSymbol_c20260925__2"/>
            <w:bookmarkEnd w:id="20"/>
            <w:r>
              <w:rPr>
                <w:rFonts w:ascii="Times New Roman;Times;Serif" w:hAnsi="Times New Roman;Times;Serif"/>
                <w:b w:val="false"/>
                <w:i w:val="false"/>
                <w:caps w:val="false"/>
                <w:smallCaps w:val="false"/>
                <w:sz w:val="20"/>
              </w:rPr>
              <w:t>SEGG</w:t>
            </w:r>
          </w:p>
        </w:tc>
        <w:tc>
          <w:tcPr>
            <w:tcW w:w="60" w:type="dxa"/>
            <w:tcBorders/>
            <w:tcMar>
              <w:bottom w:w="0" w:type="dxa"/>
            </w:tcMar>
            <w:vAlign w:val="center"/>
          </w:tcPr>
          <w:p>
            <w:pPr>
              <w:pStyle w:val="TableContents"/>
              <w:bidi w:val="0"/>
              <w:spacing w:before="0" w:after="283"/>
              <w:jc w:val="left"/>
              <w:rPr/>
            </w:pPr>
            <w:r>
              <w:rPr/>
              <w:t> </w:t>
            </w:r>
          </w:p>
        </w:tc>
        <w:tc>
          <w:tcPr>
            <w:tcW w:w="30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558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9_edei--Security12bTitle_c20260925"/>
            <w:bookmarkEnd w:id="22"/>
            <w:r>
              <w:rPr>
                <w:rFonts w:ascii="Times New Roman;Times;Serif" w:hAnsi="Times New Roman;Times;Serif"/>
                <w:b w:val="false"/>
                <w:i w:val="false"/>
                <w:caps w:val="false"/>
                <w:smallCaps w:val="false"/>
                <w:sz w:val="20"/>
              </w:rPr>
              <w:t>Warrants to purchase one share of common stock, each at an exercise price of $16,100</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60925__2"/>
            <w:bookmarkEnd w:id="23"/>
            <w:r>
              <w:rPr>
                <w:rFonts w:ascii="Times New Roman;Times;Serif" w:hAnsi="Times New Roman;Times;Serif"/>
                <w:b w:val="false"/>
                <w:i w:val="false"/>
                <w:caps w:val="false"/>
                <w:smallCaps w:val="false"/>
                <w:sz w:val="20"/>
              </w:rPr>
              <w:t>LTRYW</w:t>
            </w:r>
          </w:p>
        </w:tc>
        <w:tc>
          <w:tcPr>
            <w:tcW w:w="60" w:type="dxa"/>
            <w:tcBorders/>
            <w:tcMar>
              <w:bottom w:w="0" w:type="dxa"/>
            </w:tcMar>
            <w:vAlign w:val="center"/>
          </w:tcPr>
          <w:p>
            <w:pPr>
              <w:pStyle w:val="TableContents"/>
              <w:bidi w:val="0"/>
              <w:spacing w:before="0" w:after="283"/>
              <w:jc w:val="left"/>
              <w:rPr/>
            </w:pPr>
            <w:r>
              <w:rPr/>
              <w:t> </w:t>
            </w:r>
          </w:p>
        </w:tc>
        <w:tc>
          <w:tcPr>
            <w:tcW w:w="30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E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D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bookmarkStart w:id="26" w:name="xdx_905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Sports Entertainment Gaming Global Corporation (the “Company”) received a letter (the “Staff Determination”) from the Listing Qualifications Department (the “Staff”) of The Nasdaq Stock Market LLC (“Nasdaq”) notifying the Company that, because it has not filed its Quarterly Report on Form 10-Q for the quarter ended June 30, 2026 (the “Q2 Form 10-Q”), it has not regained compliance with Nasdaq Listing Rule 5250(c)(1), which requires listed companies to timely file all required periodic reports with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Staff notified the Company on April 17, May 21, and August 20, 2026 that it was not in compliance with Listing Rule 5250(c)(1) because it had not filed its Annual Report on Form 10-K for the year ended December 31, 2025 and its Quarterly Reports on Form 10-Q for the quarters ended March 31, 2026 and June 30, 2026. Staff gave the Company the maximum time available under Nasdaq’s rules to regain compliance, which ran through October 12, 2026. The Company filed the Form 10-K on July 10, 2026 and the Form 10-Q for the quarter ended March 31, 2026 on October 8, 2026. The Q2 Form 10-Q is the only delinquent report identified in the Staff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Staff Determination states that, unless the Company requests a hearing before a Nasdaq Hearings Panel (the “Panel”) by 4:00 p.m. Eastern Time on October 21, 2026, trading in the Company’s common stock and warrants will be suspended from The Nasdaq Global Market at the opening of business on October 23, 2026, and Nasdaq will file a Form 25-NSE with the SEC to remove the Company’s securities from listing and registration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requested a hearing before the Panel. Under Nasdaq’s rules, a hearing request relating to a delinquent filing stays the suspension of the Company’s securities for 15 days from the date of the request. The Company will also ask the Panel to extend the stay through the hearing and the Panel’s written decision. The Panel will notify the Company of its decision on the extended stay no later than 15 calendar days after the deadline to request a hearing. Hearings are typically scheduled approximately 30 to 45 days after a hearing request. At the hearing, the Company intends to present its plan to regain compliance and to ask the Panel for an exception, which the Panel may grant for up to 180 days from the date of the Staff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expects to file the Q2 Form 10-Q as soon as practically possible, subject to completion of its independent registered public accounting firm’s review. There can be no assurance that the Company will file the Q2 Form 10-Q by that date, that the Panel will grant the Company’s request for an extended stay or for an exception, or that the Company will regain or maintain compliance with Nasdaq’s continued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2026, the Company issued a press release announcing its receipt of the Staff Determination, as required by Nasdaq Listing Rule 5810(b). A copy of the press release is attached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and Section 21E of the Securities Exchange Act of 1934, including statements about the Company’s intention to request a hearing and an extended stay, the expected timing of the Q2 Form 10-Q, and the Company’s ability to regain compliance with Nasdaq’s listing requirements. These statements are based on current expectations and are subject to risks and uncertainties, including delays in completing the Company’s financial statements or its auditor’s review, the Panel’s decisions, and the other risks described in the Company’s filings with the SEC. Actual results may differ materially. The Company undertakes no obligation to update these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October 20, 2026</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60"/>
        <w:gridCol w:w="5990"/>
        <w:gridCol w:w="75"/>
      </w:tblGrid>
      <w:tr>
        <w:trPr/>
        <w:tc>
          <w:tcPr>
            <w:tcW w:w="655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59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9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Stubblefield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Stubblefield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Interim Chief Executive Officer, Interim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including statements regarding the Company’s expectations as to the timing, scope, nature, and effect of the restatement, the fiscal 2023–2025 corrections, and related filings described above, the periods and financial statement line items expected to be affected, the materiality determination described in Item 8.01, and the Company’s evaluation of its disclosure controls and procedures and internal control over financial reporting. These statements are not guarantees of future outcomes, reflect only the Company’s current expectations, estimates, and assumptions, and are based solely on information available to the Company as of the date of this report; they speak only as of such date and are inherently subject to change. Such statements are subject to numerous risks and uncertainties that could cause actual results to differ materially from those expressed or implied, including, without limitation, the possibility that the Company’s ongoing internal investigation, and the review by its independent registered public accounting firm, may identify additional or different facts, errors, misstatements, or effects, or a different magnitude, characterization, cause, or number of affected periods, than currently understood by the Company, including with respect to the materiality determination described in Item 8.01; that the amounts, direction, and financial statement effects of the corrections may change; that the timing, scope, form, and sequencing of the restatement and the related amended and other filings may change; that the Company may identify one or more additional control deficiencies or material weaknesses; that the completion of the restatement, the associated audit and interim review procedures, and the finalization of related conclusions may be delayed; that the matters described above may give rise to, or be affected by, inquiries, investigations, subpoenas, enforcement actions, or other proceedings by the U.S. Securities and Exchange Commission, the U.S. Department of Justice, Nasdaq, or other governmental, regulatory, or self-regulatory authorities, as well as private litigation; and that the Company may be subject to related consequences affecting its financial condition, reputation, and the listing or trading of its securities. Readers are cautioned not to place undue reliance on any forward-looking statement. Except as required by applicable law, the Company undertakes no obligation, and expressly disclaims any obligation, to update, revise, or supplement any forward-looking statement,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tbl>
      <w:tblPr>
        <w:tblW w:w="4828" w:type="dxa"/>
        <w:jc w:val="left"/>
        <w:tblInd w:w="0" w:type="dxa"/>
        <w:tblLayout w:type="fixed"/>
        <w:tblCellMar>
          <w:top w:w="0" w:type="dxa"/>
          <w:left w:w="0" w:type="dxa"/>
          <w:bottom w:w="0" w:type="dxa"/>
          <w:right w:w="0" w:type="dxa"/>
        </w:tblCellMar>
      </w:tblPr>
      <w:tblGrid>
        <w:gridCol w:w="1950"/>
        <w:gridCol w:w="23"/>
        <w:gridCol w:w="2855"/>
      </w:tblGrid>
      <w:tr>
        <w:trPr/>
        <w:tc>
          <w:tcPr>
            <w:tcW w:w="1950" w:type="dxa"/>
            <w:tcBorders/>
            <w:vAlign w:val="center"/>
          </w:tcPr>
          <w:p>
            <w:pPr>
              <w:pStyle w:val="TableContents"/>
              <w:bidi w:val="0"/>
              <w:spacing w:before="0" w:after="283"/>
              <w:jc w:val="left"/>
              <w:rPr/>
            </w:pPr>
            <w:r>
              <w:rPr/>
              <w:drawing>
                <wp:inline distT="0" distB="0" distL="0" distR="0">
                  <wp:extent cx="12287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419100"/>
                          </a:xfrm>
                          <a:prstGeom prst="rect">
                            <a:avLst/>
                          </a:prstGeom>
                        </pic:spPr>
                      </pic:pic>
                    </a:graphicData>
                  </a:graphic>
                </wp:inline>
              </w:drawing>
            </w:r>
          </w:p>
        </w:tc>
        <w:tc>
          <w:tcPr>
            <w:tcW w:w="23"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OFFICIAL RELEASE</w:t>
            </w:r>
          </w:p>
          <w:p>
            <w:pPr>
              <w:pStyle w:val="TableContents"/>
              <w:bidi w:val="0"/>
              <w:spacing w:before="0" w:after="0"/>
              <w:ind w:left="1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 Edwards Ranch Rd,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TX 76109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SEGG Media Requests Nasdaq Hearing and Stay Following Staff Determination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FORT WORTH, Texas, October 20, 2026</w:t>
      </w:r>
      <w:r>
        <w:rPr>
          <w:rFonts w:ascii="Times New Roman;Times;Serif" w:hAnsi="Times New Roman;Times;Serif"/>
          <w:b w:val="false"/>
          <w:i w:val="false"/>
          <w:caps w:val="false"/>
          <w:smallCaps w:val="false"/>
          <w:sz w:val="20"/>
        </w:rPr>
        <w:t xml:space="preserve"> – Sports Entertainment Gaming Global Corporation (“SEGG Media” or the “Company”) (Nasdaq: SEGG, LTRYW) today announced that on October 14, 2026, it received a Staff Determination letter (the “Letter”) from the Listing Qualifications Department (the “Staff”) of The Nasdaq Stock Market LLC (“Nasdaq”). The Letter states that the Company has not regained compliance with Nasdaq Listing Rule 5250(c)(1), which requires timely filing of all required periodic financial reports with the Securities and Exchange Commission (the “SEC”). The Company has timely requested a hearing before the Nasdaq Hearings Panel (the “Hearings Panel”) and paid the applicable $20,000 hearing fee to review the Staff’s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previously notified the Company on April 17, May 21 and August 20, 2026 that it was not in compliance with the rule. Those notices covered three reports:</w:t>
      </w:r>
    </w:p>
    <w:p>
      <w:pPr>
        <w:pStyle w:val="TextBody"/>
        <w:bidi w:val="0"/>
        <w:spacing w:before="0" w:after="0"/>
        <w:ind w:left="0" w:right="0" w:hanging="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Annual Report on Form 10-K for the year ended December 31,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Quarterly Report on Form 10-Q for the period ended March 31,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Quarterly Report on Form 10-Q for the period ended June 30, 2026</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granted the Company 180 calendar days from the due date of the Form 10-K. The Company has since filed the Form 10-K and the Form 10-Q for the period ended March 31, 2026. Accordingly, Nasdaq has provided written confirmation that the Company is no longer non-compliant with regard to these two filings. The current determination is based on the Company not having filed its Form 10-Q for the period ended June 30, 2026 within the 180-day exception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stated that, absent an appeal, trading of the Company’s common stock and warrants would be suspended on October 23, 2026, and Nasdaq would file a Form 25-NSE with the SEC to remove the Company’s securities from listing. The Company’s hearing request stays any suspension for 15 days from the date of the request, unless the Company specifically requests, and the Hearings Panel grants, a further stay. As such, the Company has also requested an extended stay pending the hearing. Hearings are typically scheduled 30 to 45 days after a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awaiting confirmation of the hearing date and intends to file its Form 10-Q for the period ended June 30, 2026 as soon as practicable to cure the one remaining deficiency. There can be no assurance that the Hearings Panel will grant an extended stay pending the hearing or grant an exception to the continued listing standard for up to 360 days from the initial delinquency.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through this hearing process with Nasdaq before. In 2023, while operating as Lottery.com, Inc., the Company appeared before a Hearings Panel. The Hearings Panel granted additional time to file the delinquent periodic reports and to meet Nasdaq’s minimum bid price requirement. On September 8, 2023, Nasdaq notified the Company that it had regained compliance with both requirements, and the Company’s listing was maintained on Nasdaq.</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28" w:type="dxa"/>
        <w:jc w:val="left"/>
        <w:tblInd w:w="0" w:type="dxa"/>
        <w:tblLayout w:type="fixed"/>
        <w:tblCellMar>
          <w:top w:w="0" w:type="dxa"/>
          <w:left w:w="0" w:type="dxa"/>
          <w:bottom w:w="0" w:type="dxa"/>
          <w:right w:w="0" w:type="dxa"/>
        </w:tblCellMar>
      </w:tblPr>
      <w:tblGrid>
        <w:gridCol w:w="1950"/>
        <w:gridCol w:w="23"/>
        <w:gridCol w:w="2855"/>
      </w:tblGrid>
      <w:tr>
        <w:trPr/>
        <w:tc>
          <w:tcPr>
            <w:tcW w:w="1950" w:type="dxa"/>
            <w:tcBorders/>
            <w:vAlign w:val="center"/>
          </w:tcPr>
          <w:p>
            <w:pPr>
              <w:pStyle w:val="TableContents"/>
              <w:bidi w:val="0"/>
              <w:spacing w:before="0" w:after="283"/>
              <w:jc w:val="left"/>
              <w:rPr/>
            </w:pPr>
            <w:r>
              <w:rPr/>
              <w:drawing>
                <wp:inline distT="0" distB="0" distL="0" distR="0">
                  <wp:extent cx="12287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28725" cy="419100"/>
                          </a:xfrm>
                          <a:prstGeom prst="rect">
                            <a:avLst/>
                          </a:prstGeom>
                        </pic:spPr>
                      </pic:pic>
                    </a:graphicData>
                  </a:graphic>
                </wp:inline>
              </w:drawing>
            </w:r>
          </w:p>
        </w:tc>
        <w:tc>
          <w:tcPr>
            <w:tcW w:w="23"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OFFICIAL RELEASE</w:t>
            </w:r>
          </w:p>
          <w:p>
            <w:pPr>
              <w:pStyle w:val="TableContents"/>
              <w:bidi w:val="0"/>
              <w:spacing w:before="0" w:after="0"/>
              <w:ind w:left="1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 Edwards Ranch Rd,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TX 76109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SEGG Media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SEGG Media (Nasdaq: SEGG, LTRYW) is a global sports, entertainment, and gaming group operating a portfolio of digital assets including Sports.com, Concerts.com, TicketStub.com, Lottery.com, and Veloce Media Group. Focused on immersive fan engagement, ethical gaming, and technology-driven fan experiences, SEGG Media is redefining how global audiences interact with the content they love.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additional information</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3065"/>
        <w:gridCol w:w="3020"/>
      </w:tblGrid>
      <w:tr>
        <w:trPr/>
        <w:tc>
          <w:tcPr>
            <w:tcW w:w="30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SEGG Media press@seggmedia.com </w:t>
              <w:br/>
              <w:t>737-587-3391</w:t>
            </w:r>
          </w:p>
        </w:tc>
        <w:tc>
          <w:tcPr>
            <w:tcW w:w="30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SEGG Investors ir@seggmedia.com </w:t>
              <w:br/>
              <w:t>737-787-3891</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These include statements about the Company’s hearing request and request for an extended stay, the timing of the filing of its Form 10-Q for the period ended June 30, 2026, and the continued listing of its securities. These statements are based on management’s current expectations and assumptions. They are subject to risks and uncertainties that could cause actual results to differ materially, including,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complete and file its outstanding Form 10-Q within the timeframe it anticipates or at all;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Hearings Panel grants an extended stay of suspension or the Company’s request for continued listing;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Company’s securities are suspended from trading or delisted from Nasdaq;</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any suspension or delisting on the liquidity and market price of the Company’s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risks described under “Risk Factors” in the Company’s Annual Report on Form 10-K filed with the SEC on July 10, 2026, and in its other SEC filings.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prior Nasdaq proceedings is not indicative of the outcome of the current proceeding. These forward-looking statements speak only as of the date of this press release. Except as required by law, the Company undertakes no obligation to update or revise any forward-looking statement,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2365</Words>
  <Characters>12848</Characters>
  <CharactersWithSpaces>15195</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