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17,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Sports Entertainment Gaming Global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001-38508</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No. 81-1996183</w:t>
            </w:r>
          </w:p>
        </w:tc>
      </w:tr>
      <w:tr>
        <w:trPr>
          <w:trHeight w:val="187"/>
        </w:trPr>
        <w:tc>
          <w:tcPr>
            <w:tcW w:w="2940" w:type="dxa"/>
            <w:vAlign w:val="bottom"/>
            <w:tcBorders>
              <w:top w:val="single" w:sz="8" w:color="auto"/>
            </w:tcBorders>
          </w:tcPr>
          <w:p>
            <w:pPr>
              <w:jc w:val="center"/>
              <w:ind w:left="590"/>
              <w:spacing w:after="0" w:line="188"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0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000" w:type="dxa"/>
            <w:vAlign w:val="bottom"/>
            <w:tcBorders>
              <w:top w:val="single" w:sz="8" w:color="auto"/>
            </w:tcBorders>
          </w:tcPr>
          <w:p>
            <w:pPr>
              <w:jc w:val="center"/>
              <w:ind w:right="4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300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8240" w:type="dxa"/>
            <w:vAlign w:val="bottom"/>
            <w:gridSpan w:val="6"/>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5049 Edwards Ranch Rd., 4th Floor</w:t>
            </w:r>
          </w:p>
        </w:tc>
        <w:tc>
          <w:tcPr>
            <w:tcW w:w="3000" w:type="dxa"/>
            <w:vAlign w:val="bottom"/>
          </w:tcPr>
          <w:p>
            <w:pPr>
              <w:spacing w:after="0"/>
              <w:rPr>
                <w:sz w:val="24"/>
                <w:szCs w:val="24"/>
                <w:color w:val="auto"/>
              </w:rPr>
            </w:pPr>
          </w:p>
        </w:tc>
      </w:tr>
      <w:tr>
        <w:trPr>
          <w:trHeight w:val="238"/>
        </w:trPr>
        <w:tc>
          <w:tcPr>
            <w:tcW w:w="2940" w:type="dxa"/>
            <w:vAlign w:val="bottom"/>
          </w:tcPr>
          <w:p>
            <w:pPr>
              <w:spacing w:after="0"/>
              <w:rPr>
                <w:sz w:val="20"/>
                <w:szCs w:val="20"/>
                <w:color w:val="auto"/>
              </w:rPr>
            </w:pPr>
          </w:p>
        </w:tc>
        <w:tc>
          <w:tcPr>
            <w:tcW w:w="5300" w:type="dxa"/>
            <w:vAlign w:val="bottom"/>
            <w:gridSpan w:val="5"/>
          </w:tcPr>
          <w:p>
            <w:pPr>
              <w:jc w:val="center"/>
              <w:ind w:right="3740"/>
              <w:spacing w:after="0"/>
              <w:rPr>
                <w:sz w:val="20"/>
                <w:szCs w:val="20"/>
                <w:color w:val="auto"/>
              </w:rPr>
            </w:pPr>
            <w:r>
              <w:rPr>
                <w:rFonts w:ascii="Times New Roman" w:cs="Times New Roman" w:eastAsia="Times New Roman" w:hAnsi="Times New Roman"/>
                <w:sz w:val="18"/>
                <w:szCs w:val="18"/>
                <w:b w:val="1"/>
                <w:bCs w:val="1"/>
                <w:color w:val="auto"/>
                <w:w w:val="97"/>
              </w:rPr>
              <w:t>Fort Worth, Texas</w:t>
            </w:r>
          </w:p>
        </w:tc>
        <w:tc>
          <w:tcPr>
            <w:tcW w:w="300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7"/>
              </w:rPr>
              <w:t>76109</w:t>
            </w:r>
          </w:p>
        </w:tc>
      </w:tr>
      <w:tr>
        <w:trPr>
          <w:trHeight w:val="232"/>
        </w:trPr>
        <w:tc>
          <w:tcPr>
            <w:tcW w:w="744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3000" w:type="dxa"/>
            <w:vAlign w:val="bottom"/>
            <w:tcBorders>
              <w:top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387"/>
        </w:trPr>
        <w:tc>
          <w:tcPr>
            <w:tcW w:w="2940" w:type="dxa"/>
            <w:vAlign w:val="bottom"/>
          </w:tcPr>
          <w:p>
            <w:pPr>
              <w:spacing w:after="0"/>
              <w:rPr>
                <w:sz w:val="24"/>
                <w:szCs w:val="24"/>
                <w:color w:val="auto"/>
              </w:rPr>
            </w:pPr>
          </w:p>
        </w:tc>
        <w:tc>
          <w:tcPr>
            <w:tcW w:w="450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(737) 787-3798</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38"/>
        </w:trPr>
        <w:tc>
          <w:tcPr>
            <w:tcW w:w="2940" w:type="dxa"/>
            <w:vAlign w:val="bottom"/>
          </w:tcPr>
          <w:p>
            <w:pPr>
              <w:spacing w:after="0"/>
              <w:rPr>
                <w:sz w:val="20"/>
                <w:szCs w:val="20"/>
                <w:color w:val="auto"/>
              </w:rPr>
            </w:pPr>
          </w:p>
        </w:tc>
        <w:tc>
          <w:tcPr>
            <w:tcW w:w="530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(Registrant’s Telephone Number, Including Area Code)</w:t>
            </w:r>
          </w:p>
        </w:tc>
        <w:tc>
          <w:tcPr>
            <w:tcW w:w="30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2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4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4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SEGG</w:t>
            </w:r>
          </w:p>
        </w:tc>
        <w:tc>
          <w:tcPr>
            <w:tcW w:w="220" w:type="dxa"/>
            <w:vAlign w:val="bottom"/>
            <w:shd w:val="clear" w:color="auto" w:fill="CCEEFF"/>
          </w:tcPr>
          <w:p>
            <w:pPr>
              <w:spacing w:after="0"/>
              <w:rPr>
                <w:sz w:val="18"/>
                <w:szCs w:val="18"/>
                <w:color w:val="auto"/>
              </w:rPr>
            </w:pPr>
          </w:p>
        </w:tc>
        <w:tc>
          <w:tcPr>
            <w:tcW w:w="4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198"/>
        </w:trPr>
        <w:tc>
          <w:tcPr>
            <w:tcW w:w="42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Warrants to purchase one share of common stock, each at</w:t>
            </w:r>
          </w:p>
        </w:tc>
        <w:tc>
          <w:tcPr>
            <w:tcW w:w="240" w:type="dxa"/>
            <w:vAlign w:val="bottom"/>
          </w:tcPr>
          <w:p>
            <w:pPr>
              <w:spacing w:after="0"/>
              <w:rPr>
                <w:sz w:val="17"/>
                <w:szCs w:val="17"/>
                <w:color w:val="auto"/>
              </w:rPr>
            </w:pPr>
          </w:p>
        </w:tc>
        <w:tc>
          <w:tcPr>
            <w:tcW w:w="20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LTRYW</w:t>
            </w:r>
          </w:p>
        </w:tc>
        <w:tc>
          <w:tcPr>
            <w:tcW w:w="220" w:type="dxa"/>
            <w:vAlign w:val="bottom"/>
          </w:tcPr>
          <w:p>
            <w:pPr>
              <w:spacing w:after="0"/>
              <w:rPr>
                <w:sz w:val="17"/>
                <w:szCs w:val="17"/>
                <w:color w:val="auto"/>
              </w:rPr>
            </w:pPr>
          </w:p>
        </w:tc>
        <w:tc>
          <w:tcPr>
            <w:tcW w:w="44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 exercise price of $2,300.00</w:t>
            </w: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 (a)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1.01 Entry into a Material Definitive Agreement</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17, 2026, Sports Entertainment Gaming Global Corporation (the “Company” or “SEGG Media”) entered into seven separate Share Purchase Agreements (collectively, the “SPAs”) with certain shareholders of Veloce Esports Limited, a private company limited by shares incorporated in England and Wales (“Veloce”), pursuant to which the Company agreed to acquire an aggregate of 20,008 issued shares of Veloce.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SPAs were entered into with certain shareholders: Daniel Bailey, James MacLaurin, Jack Clarke, Darryl Eales, Andrew Webb, MPA Creative Limited, and Crimson Swordblade Limited.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purchase price under the SPAs is £25,135,262 (approximately $34.2 million at an exchange rate of $1.36 per £1.00), payable through a combination of:</w:t>
      </w:r>
    </w:p>
    <w:p>
      <w:pPr>
        <w:spacing w:after="0" w:line="16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consideration payable in installments through February 15, 2027;</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2,127,086 shares of the Company’s common stock; and</w:t>
      </w:r>
    </w:p>
    <w:p>
      <w:pPr>
        <w:spacing w:after="0" w:line="225" w:lineRule="exact"/>
        <w:rPr>
          <w:rFonts w:ascii="Times New Roman" w:cs="Times New Roman" w:eastAsia="Times New Roman" w:hAnsi="Times New Roman"/>
          <w:sz w:val="18"/>
          <w:szCs w:val="18"/>
          <w:color w:val="auto"/>
        </w:rPr>
      </w:pPr>
    </w:p>
    <w:p>
      <w:pPr>
        <w:ind w:right="1580" w:firstLine="332"/>
        <w:spacing w:after="0" w:line="500" w:lineRule="auto"/>
        <w:tabs>
          <w:tab w:leader="none" w:pos="64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pre-funded warrant to purchase 227,500 shares of the Company’s common stock (issued to Crimson Swordblade Limited). The Company’s common stock issued as consideration was valued at £7.35 per share ($10.00 per share).</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SPAs include customary representations and warranties, survival periods, limitations on liability, and exclusive remedy provisions. The SPAs also include transfer restrictions on issued shares, put and call option provisions based on future trading price thresholds, and customary default provisions, including share issuance remedies in certain circumstances.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is qualified in its entirety by reference to the SPAs, copies of which will be filed as exhibits to the Company’s Annual Report on Form 10-K or by amendment to this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 Completion of Acquisition or Disposition of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17, 2026, the Company completed:</w:t>
      </w:r>
    </w:p>
    <w:p>
      <w:pPr>
        <w:spacing w:after="0" w:line="225"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20,008 issued shares of Veloce pursuant to the SPAs described in Item 1.01 above; and</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for 4,634 newly issued A1 ordinary shares of Veloce pursuant to a previously disclosed Subscription Agreement, as amended.</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aggregate consideration for the subscription was £5,675,444.74 (approximately $7.7 million at an exchange rate of $1.36 per £1.00), consisting of £3,187,500 in cash and 338,360 shares of the Company’s common stock valued at $10.00 per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completion of the foregoing transactions, the Company owns approximately 67.93% of the issued share capital of Veloce.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Veloce transaction qualifies as a significant acquisition, as it meets the greater than 20% threshold. Accordingly, the Company shall further file an amended Form 8-K to include financial statements pursuant to Rule 3-05 and proforma financial information pursuant to Article 11 within 71 calendar days from the date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Sports Entertainment Gaming Global Corporation.</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Robert J. Stubblefield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Robert J. Stubblefield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Interim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2026-02-23T16:45:34Z</dcterms:created>
  <dcterms:modified xsi:type="dcterms:W3CDTF">2026-02-23T16:45:34Z</dcterms:modified>
</cp:coreProperties>
</file>