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Sports Entertainment Gaming Global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4715"/>
        <w:gridCol w:w="60"/>
        <w:gridCol w:w="1895"/>
      </w:tblGrid>
      <w:tr>
        <w:trPr/>
        <w:tc>
          <w:tcPr>
            <w:tcW w:w="47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Delaware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81-1996183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r>
        <w:trPr/>
        <w:tc>
          <w:tcPr>
            <w:tcW w:w="4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5049 Edwards Ranch Rd., 4th Floor, Fort Worth, Texas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76109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Lottery.com 2021 Incentive Award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J. Stubblefield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5049 Edwards Ranch Rd., 4th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Texas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 787-3798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E. Rivera,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ArentFox Schiff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 K Street, NW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350-3643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(202) 857-6395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(Check one):</w:t>
      </w:r>
    </w:p>
    <w:p>
      <w:pPr>
        <w:pStyle w:val="TextBody"/>
        <w:bidi w:val="0"/>
        <w:spacing w:before="0" w:after="0"/>
        <w:ind w:left="0" w:right="0" w:firstLine="36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(the “Company”) is filing this registration statement on Form S-8 (the “Registration Statement”) to register an additional 3,634,348 shares of its common stock, $0.001 par value per share (“Common Stock”), issuable pursuant to the terms and in the manner set forth in the Company’s 2021 Incentive Award Plan, as amended as of February 9, 2026 (the “2021 Plan). On February 9, 2026, the stockholders of the Company approved an amendment to the 2021 Plan to, among other things, increase the number of shares of Common Stock authorized for issuance thereunder from 115,652 shares to 3,750,000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S-8 (Registration No. 333-264157) was filed with the U.S. Securities and Exchange Commission (the “Commission”) on April 6, 2022, registering the initial 65,652 shares of Common Stock authorized for issuance pursuant to the terms of, and in the manner set forth in, the 2021 Plan (the “2022 Registration Statement”). A subsequent registration statement on Form S-8 (Registration No. 333-274930) was filed with the U.S. Securities and Exchange Commission (the “Commission”) on October 11, 2023 and amended on July 3, 2025, registering an additional 50,000 shares of Common Stock authorized for issuance pursuant to the terms of, and in the manner set forth in, the 2021 Plan (the “2023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securities of the same class as that to which the 2021 Registration Statement and 2023 Registration Statement relate, and is submitted in accordance with General Instruction E to Form S-8 regarding registration of additional securities. Pursuant to General Instruction E to Form S-8, the contents of the 2022 Registration Statement and 2023 Registration Statement are incorporated herein by reference and made part of this Registration Statement, except as amended hereby.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in this Registration Statement the following documents and information previously filed with the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 xml:space="preserve">(a) Our Annual Report on Form 10-K for the year ended December 31, 2024 (filed on </w:t>
      </w:r>
      <w:hyperlink r:id="rId2">
        <w:r>
          <w:rPr>
            <w:rStyle w:val="InternetLink"/>
            <w:rFonts w:ascii="Times New Roman;Times;Serif" w:hAnsi="Times New Roman;Times;Serif"/>
            <w:b w:val="false"/>
            <w:i w:val="false"/>
            <w:caps w:val="false"/>
            <w:smallCaps w:val="false"/>
            <w:sz w:val="20"/>
          </w:rPr>
          <w:t>April 21, 2025</w:t>
        </w:r>
      </w:hyperlink>
      <w:r>
        <w:rPr>
          <w:rFonts w:ascii="Times New Roman;Times;Serif" w:hAnsi="Times New Roman;Times;Serif"/>
          <w:b w:val="false"/>
          <w:i w:val="false"/>
          <w:caps w:val="false"/>
          <w:smallCaps w:val="false"/>
          <w:sz w:val="20"/>
        </w:rPr>
        <w:t xml:space="preserve"> and amended on </w:t>
      </w:r>
      <w:hyperlink r:id="rId3">
        <w:r>
          <w:rPr>
            <w:rStyle w:val="InternetLink"/>
            <w:rFonts w:ascii="Times New Roman;Times;Serif" w:hAnsi="Times New Roman;Times;Serif"/>
            <w:b w:val="false"/>
            <w:i w:val="false"/>
            <w:caps w:val="false"/>
            <w:smallCaps w:val="false"/>
            <w:sz w:val="20"/>
          </w:rPr>
          <w:t>April 22, 2025</w:t>
        </w:r>
      </w:hyperlink>
      <w:r>
        <w:rPr>
          <w:rFonts w:ascii="Times New Roman;Times;Serif" w:hAnsi="Times New Roman;Times;Serif"/>
          <w:b w:val="false"/>
          <w:i w:val="false"/>
          <w:caps w:val="false"/>
          <w:smallCaps w:val="false"/>
          <w:sz w:val="20"/>
        </w:rPr>
        <w: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 xml:space="preserve">(b) The Company’s Quarterly Report on Form 10-Q for the quarters ended March 31, 2025 (filed on </w:t>
      </w:r>
      <w:hyperlink r:id="rId4">
        <w:r>
          <w:rPr>
            <w:rStyle w:val="InternetLink"/>
            <w:rFonts w:ascii="Times New Roman;Times;Serif" w:hAnsi="Times New Roman;Times;Serif"/>
            <w:b w:val="false"/>
            <w:i w:val="false"/>
            <w:caps w:val="false"/>
            <w:smallCaps w:val="false"/>
            <w:sz w:val="20"/>
          </w:rPr>
          <w:t>May 21, 2025</w:t>
        </w:r>
      </w:hyperlink>
      <w:r>
        <w:rPr>
          <w:rFonts w:ascii="Times New Roman;Times;Serif" w:hAnsi="Times New Roman;Times;Serif"/>
          <w:b w:val="false"/>
          <w:i w:val="false"/>
          <w:caps w:val="false"/>
          <w:smallCaps w:val="false"/>
          <w:sz w:val="20"/>
        </w:rPr>
        <w:t xml:space="preserve"> and amended on </w:t>
      </w:r>
      <w:hyperlink r:id="rId5">
        <w:r>
          <w:rPr>
            <w:rStyle w:val="InternetLink"/>
            <w:rFonts w:ascii="Times New Roman;Times;Serif" w:hAnsi="Times New Roman;Times;Serif"/>
            <w:b w:val="false"/>
            <w:i w:val="false"/>
            <w:caps w:val="false"/>
            <w:smallCaps w:val="false"/>
            <w:sz w:val="20"/>
          </w:rPr>
          <w:t>October 15, 2025</w:t>
        </w:r>
      </w:hyperlink>
      <w:r>
        <w:rPr>
          <w:rFonts w:ascii="Times New Roman;Times;Serif" w:hAnsi="Times New Roman;Times;Serif"/>
          <w:b w:val="false"/>
          <w:i w:val="false"/>
          <w:caps w:val="false"/>
          <w:smallCaps w:val="false"/>
          <w:sz w:val="20"/>
        </w:rPr>
        <w:t xml:space="preserve">), June 30, 2025 (filed on </w:t>
      </w:r>
      <w:hyperlink r:id="rId6">
        <w:r>
          <w:rPr>
            <w:rStyle w:val="InternetLink"/>
            <w:rFonts w:ascii="Times New Roman;Times;Serif" w:hAnsi="Times New Roman;Times;Serif"/>
            <w:b w:val="false"/>
            <w:i w:val="false"/>
            <w:caps w:val="false"/>
            <w:smallCaps w:val="false"/>
            <w:sz w:val="20"/>
          </w:rPr>
          <w:t>August 19, 2025</w:t>
        </w:r>
      </w:hyperlink>
      <w:r>
        <w:rPr>
          <w:rFonts w:ascii="Times New Roman;Times;Serif" w:hAnsi="Times New Roman;Times;Serif"/>
          <w:b w:val="false"/>
          <w:i w:val="false"/>
          <w:caps w:val="false"/>
          <w:smallCaps w:val="false"/>
          <w:sz w:val="20"/>
        </w:rPr>
        <w:t xml:space="preserve">), and September 30, 2025 (filed on </w:t>
      </w:r>
      <w:hyperlink r:id="rId7">
        <w:r>
          <w:rPr>
            <w:rStyle w:val="InternetLink"/>
            <w:rFonts w:ascii="Times New Roman;Times;Serif" w:hAnsi="Times New Roman;Times;Serif"/>
            <w:b w:val="false"/>
            <w:i w:val="false"/>
            <w:caps w:val="false"/>
            <w:smallCaps w:val="false"/>
            <w:sz w:val="20"/>
          </w:rPr>
          <w:t>November 20, 2025</w:t>
        </w:r>
      </w:hyperlink>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 xml:space="preserve">(c) The Company’s Definitive Proxy Statement on </w:t>
      </w:r>
      <w:hyperlink r:id="rId8">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on January 29,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 xml:space="preserve">(d) The Company’s Current Reports on Form 8-K filed with the SEC on </w:t>
      </w:r>
      <w:hyperlink r:id="rId9">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8, 2025</w:t>
        </w:r>
      </w:hyperlink>
      <w:r>
        <w:rPr>
          <w:rFonts w:ascii="Times New Roman;Times;Serif" w:hAnsi="Times New Roman;Times;Serif"/>
          <w:b w:val="false"/>
          <w:i w:val="false"/>
          <w:caps w:val="false"/>
          <w:smallCaps w:val="false"/>
          <w:sz w:val="20"/>
        </w:rPr>
        <w:t xml:space="preserve"> (two filings), </w:t>
      </w:r>
      <w:hyperlink r:id="rId11">
        <w:r>
          <w:rPr>
            <w:rStyle w:val="InternetLink"/>
            <w:rFonts w:ascii="Times New Roman;Times;Serif" w:hAnsi="Times New Roman;Times;Serif"/>
            <w:b w:val="false"/>
            <w:i w:val="false"/>
            <w:caps w:val="false"/>
            <w:smallCaps w:val="false"/>
            <w:sz w:val="20"/>
          </w:rPr>
          <w:t>May 9,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May 13,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May 23,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6,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23, 2025 (Form 8-K (1))</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23, 2025 (Form 8-K (2))</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23, 2025 (Form 8-K/A (3))</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July 16,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22,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August 7,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September 5, 2025</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16,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December 1,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December 4, 2025</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January 20, 2026</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January 23, 2026</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January 30, 2026</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February 2, 2026</w:t>
        </w:r>
      </w:hyperlink>
      <w:r>
        <w:rPr>
          <w:rFonts w:ascii="Times New Roman;Times;Serif" w:hAnsi="Times New Roman;Times;Serif"/>
          <w:b w:val="false"/>
          <w:i w:val="false"/>
          <w:caps w:val="false"/>
          <w:smallCaps w:val="false"/>
          <w:sz w:val="20"/>
        </w:rPr>
        <w:t xml:space="preserve">, </w:t>
      </w:r>
      <w:hyperlink r:id="rId34">
        <w:r>
          <w:rPr>
            <w:rStyle w:val="InternetLink"/>
            <w:rFonts w:ascii="Times New Roman;Times;Serif" w:hAnsi="Times New Roman;Times;Serif"/>
            <w:b w:val="false"/>
            <w:i w:val="false"/>
            <w:caps w:val="false"/>
            <w:smallCaps w:val="false"/>
            <w:sz w:val="20"/>
          </w:rPr>
          <w:t>February 10, 2026</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February 19, 2026</w:t>
        </w:r>
      </w:hyperlink>
      <w:r>
        <w:rPr>
          <w:rFonts w:ascii="Times New Roman;Times;Serif" w:hAnsi="Times New Roman;Times;Serif"/>
          <w:b w:val="false"/>
          <w:i w:val="false"/>
          <w:caps w:val="false"/>
          <w:smallCaps w:val="false"/>
          <w:sz w:val="20"/>
        </w:rPr>
        <w:t xml:space="preserve">, </w:t>
      </w:r>
      <w:hyperlink r:id="rId36">
        <w:r>
          <w:rPr>
            <w:rStyle w:val="InternetLink"/>
            <w:rFonts w:ascii="Times New Roman;Times;Serif" w:hAnsi="Times New Roman;Times;Serif"/>
            <w:b w:val="false"/>
            <w:i w:val="false"/>
            <w:caps w:val="false"/>
            <w:smallCaps w:val="false"/>
            <w:sz w:val="20"/>
          </w:rPr>
          <w:t>February 23, 2026</w:t>
        </w:r>
      </w:hyperlink>
      <w:r>
        <w:rPr>
          <w:rFonts w:ascii="Times New Roman;Times;Serif" w:hAnsi="Times New Roman;Times;Serif"/>
          <w:b w:val="false"/>
          <w:i w:val="false"/>
          <w:caps w:val="false"/>
          <w:smallCaps w:val="false"/>
          <w:sz w:val="20"/>
        </w:rPr>
        <w:t xml:space="preserve">, </w:t>
      </w:r>
      <w:hyperlink r:id="rId37">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and </w:t>
      </w:r>
      <w:hyperlink r:id="rId38">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in each case to the extent the information in such reports is filed and not furnished;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pPr>
      <w:r>
        <w:rPr>
          <w:rFonts w:ascii="Times New Roman;Times;Serif" w:hAnsi="Times New Roman;Times;Serif"/>
          <w:b w:val="false"/>
          <w:i w:val="false"/>
          <w:caps w:val="false"/>
          <w:smallCaps w:val="false"/>
          <w:sz w:val="20"/>
        </w:rPr>
        <w:t xml:space="preserve">(e) The description of the Company’s common stock, par value $0.001 per share, filed as </w:t>
      </w:r>
      <w:hyperlink r:id="rId39">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the Company Annual Report on Form 10-K filed by the Company with the SEC on April 1, 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and 15(d) of the Securities Exchange Act of 1934, as amended (the “Exchange Act”), other than current reports furnished under Item 2.02 or Item 7.01 of Form 8-K and exhibits furnished on such form that relate to such items,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we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one of our directors, officers, employees or agents, or is or was serving at our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our best interests, and, with respect to any criminal action or proceeding, had no reasonable cause to believe the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give us the power to indemnify any person who was or is a party or is threatened to be made a party to any threatened, pending or completed action or suit by or in our right to procure a judgment in our favor by reason of the fact that such person is or was one of our directors, officers, employees or agents, or is or was serving at our request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our best interests and except that no indemnification shall be made in respect of any claim, issue or matter as to which such person shall have been adjudged to be liable for negligence or misconduct in the performance of such person’s duty to us unless and only to the extent that a court of competent jurisdiction or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provide that to the extent that one of our directors, officers, employees or agents has been successful on the merits or otherwise in the defense of any action, suit or proceeding,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further provide that our Board of Directors may by a vote of a majority of the full Board of Directors, authorize us to purchase and maintain insurance on behalf of any person who is or was one of our directors, officers, employees or agents, or is or was serving at our request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0"/>
        <w:gridCol w:w="60"/>
        <w:gridCol w:w="9465"/>
      </w:tblGrid>
      <w:tr>
        <w:trPr/>
        <w:tc>
          <w:tcPr>
            <w:tcW w:w="6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Description</w:t>
            </w:r>
          </w:p>
        </w:tc>
      </w:tr>
      <w:tr>
        <w:trPr/>
        <w:tc>
          <w:tcPr>
            <w:tcW w:w="6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CCEE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Second Amended and Restated Certificate of Incorporation of Lottery.com Inc., incorporated by reference to Exhibit 3.1 to the Company’s Current Report on Form 8-K (File No. 001-38508), as amended, filed with the SEC on November 4, 2021.</w:t>
              </w:r>
            </w:hyperlink>
            <w:r>
              <w:rPr>
                <w:rFonts w:ascii="Times New Roman;Times;Serif" w:hAnsi="Times New Roman;Times;Serif"/>
                <w:b w:val="false"/>
                <w:i w:val="false"/>
                <w:caps w:val="false"/>
                <w:smallCaps w:val="false"/>
                <w:sz w:val="20"/>
              </w:rPr>
              <w:t xml:space="preserve"> </w:t>
            </w:r>
          </w:p>
        </w:tc>
      </w:tr>
      <w:tr>
        <w:trPr/>
        <w:tc>
          <w:tcPr>
            <w:tcW w:w="6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CCEE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Certificate of Amendment to the Certificate of Incorporation of the Company (filed January 27, 2026), incorporated by reference to Exhibit 3.1 to the Company’s Current Report on Form 8-K (File No. 001-38508) filed with the SEC on January 30, 2026</w:t>
              </w:r>
            </w:hyperlink>
          </w:p>
        </w:tc>
      </w:tr>
      <w:tr>
        <w:trPr/>
        <w:tc>
          <w:tcPr>
            <w:tcW w:w="6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CCEE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Amended and Restated Bylaws of Lottery.com, incorporated by reference to Exhibit 3.2 to the Company’s Current Report on Form 8-K (File No. 001-38508), as amended, filed with the SEC on November 4, 2021.</w:t>
              </w:r>
            </w:hyperlink>
          </w:p>
        </w:tc>
      </w:tr>
      <w:tr>
        <w:trPr/>
        <w:tc>
          <w:tcPr>
            <w:tcW w:w="6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Warrant Agreement, dated as of May 29, 2018, between TDAC and Continental Stock Transfer &amp; Trust Company, as warrant agent, incorporated by reference to Exhibit 4.1 of the Company’s Current Report on Form 8-K (File No. 001-38508), filed with the SEC on June 4, 2018.</w:t>
              </w:r>
            </w:hyperlink>
          </w:p>
        </w:tc>
      </w:tr>
      <w:tr>
        <w:trPr/>
        <w:tc>
          <w:tcPr>
            <w:tcW w:w="6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5" w:type="dxa"/>
            <w:tcBorders/>
            <w:shd w:fill="CCEEFF" w:val="clear"/>
            <w:tcMar>
              <w:bottom w:w="0" w:type="dxa"/>
            </w:tcMar>
            <w:vAlign w:val="center"/>
          </w:tcPr>
          <w:p>
            <w:pPr>
              <w:pStyle w:val="TableContents"/>
              <w:bidi w:val="0"/>
              <w:spacing w:before="0" w:after="283"/>
              <w:jc w:val="both"/>
              <w:rPr/>
            </w:pPr>
            <w:hyperlink w:anchor="ex4-6.htm">
              <w:r>
                <w:rPr>
                  <w:rStyle w:val="InternetLink"/>
                  <w:rFonts w:ascii="Times New Roman;Times;Serif" w:hAnsi="Times New Roman;Times;Serif"/>
                  <w:b w:val="false"/>
                  <w:i w:val="false"/>
                  <w:caps w:val="false"/>
                  <w:smallCaps w:val="false"/>
                  <w:sz w:val="20"/>
                </w:rPr>
                <w:t>Lottery.com 2021 Incentive Plan.</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5"/>
        <w:gridCol w:w="60"/>
        <w:gridCol w:w="9700"/>
      </w:tblGrid>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Form of Option Award Agreement under the Lottery.com 2021 Incentive Plan (incorporated by reference to Exhibit 10.18 of the Annual Report on Form 10-K filed by Lottery.com with the SEC on April 1, 2022).</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Restricted Stock Unit Award Agreement under the Lottery.com 2021 Incentive Plan (incorporated by reference to Exhibit 10.19 of the Annual Report on Form 10-K filed by Lottery.com with the SEC on April 1, 2022).</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Director Restricted Stock Unit Award Agreement under the Lottery.com 2021 Incentive Plan (incorporated by reference to Exhibit 10.20 of the Annual Report on Form 10-K filed by Lottery.com with the SEC on April 1, 2022).</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Arent Fox Schiff LLP</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Boladale Lawal &amp; Company, independent registered public accounting firm for the Company.</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ArentFox Schiff LLP (included in Exhibit 5.1 to this Registration Statement).</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Power of Attorney of certain officers and directors (included on the signature page to this Registration Statement).</w:t>
              </w:r>
            </w:hyperlink>
          </w:p>
        </w:tc>
      </w:tr>
      <w:tr>
        <w:trPr/>
        <w:tc>
          <w:tcPr>
            <w:tcW w:w="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700" w:type="dxa"/>
            <w:tcBorders/>
            <w:shd w:fill="CCEEFF" w:val="cle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Fort Worth, Texas, on March 26, 2026.</w:t>
      </w:r>
    </w:p>
    <w:p>
      <w:pPr>
        <w:pStyle w:val="TextBody"/>
        <w:bidi w:val="0"/>
        <w:spacing w:before="0" w:after="0"/>
        <w:ind w:left="0" w:right="0" w:firstLine="720"/>
        <w:jc w:val="left"/>
        <w:rPr>
          <w:caps w:val="false"/>
          <w:smallCaps w:val="false"/>
        </w:rPr>
      </w:pPr>
      <w:r>
        <w:rPr>
          <w:caps w:val="false"/>
          <w:smallCaps w:val="false"/>
        </w:rPr>
        <w:t> </w:t>
      </w:r>
    </w:p>
    <w:tbl>
      <w:tblPr>
        <w:tblW w:w="4399" w:type="dxa"/>
        <w:jc w:val="left"/>
        <w:tblInd w:w="0" w:type="dxa"/>
        <w:tblLayout w:type="fixed"/>
        <w:tblCellMar>
          <w:top w:w="0" w:type="dxa"/>
          <w:left w:w="0" w:type="dxa"/>
          <w:bottom w:w="0" w:type="dxa"/>
          <w:right w:w="0" w:type="dxa"/>
        </w:tblCellMar>
      </w:tblPr>
      <w:tblGrid>
        <w:gridCol w:w="75"/>
        <w:gridCol w:w="476"/>
        <w:gridCol w:w="3848"/>
      </w:tblGrid>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b/>
                <w:sz w:val="20"/>
              </w:rPr>
            </w:pPr>
            <w:r>
              <w:rPr>
                <w:b/>
                <w:sz w:val="20"/>
              </w:rPr>
              <w:t>Sports Entertainment Gaming Global Corporation</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sz w:val="20"/>
              </w:rPr>
            </w:pPr>
            <w:r>
              <w:rPr>
                <w:sz w:val="20"/>
              </w:rPr>
              <w:t>(Registrant)</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8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sz w:val="20"/>
              </w:rPr>
            </w:pPr>
            <w:r>
              <w:rPr>
                <w:sz w:val="20"/>
              </w:rPr>
              <w:t>By:</w:t>
            </w:r>
          </w:p>
        </w:tc>
        <w:tc>
          <w:tcPr>
            <w:tcW w:w="3848"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Robert J. Stubblefield</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848" w:type="dxa"/>
            <w:tcBorders/>
            <w:vAlign w:val="center"/>
          </w:tcPr>
          <w:p>
            <w:pPr>
              <w:pStyle w:val="TableContents"/>
              <w:bidi w:val="0"/>
              <w:spacing w:before="0" w:after="283"/>
              <w:jc w:val="left"/>
              <w:rPr>
                <w:sz w:val="20"/>
              </w:rPr>
            </w:pPr>
            <w:r>
              <w:rPr>
                <w:sz w:val="20"/>
              </w:rPr>
              <w:t>Robert J. Stubblefield</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848" w:type="dxa"/>
            <w:tcBorders/>
            <w:vAlign w:val="center"/>
          </w:tcPr>
          <w:p>
            <w:pPr>
              <w:pStyle w:val="TableContents"/>
              <w:bidi w:val="0"/>
              <w:spacing w:before="0" w:after="283"/>
              <w:jc w:val="left"/>
              <w:rPr>
                <w:sz w:val="20"/>
              </w:rPr>
            </w:pPr>
            <w:r>
              <w:rPr>
                <w:sz w:val="20"/>
              </w:rPr>
              <w:t>Interim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Robert J. Stubblefield or Gregory Potts as attorney-in-fact and agent, with full power of substitution and re-substitution, to sign on his or her behalf, individually and in any and all capacities, including the capacities stated below, any and all amendments (including post-effective amendments) to this Registration Statement, and to file the same, with all exhibits thereto, and other documents in connection therewith, with the Securities and Exchange Commission, granting 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92"/>
        <w:gridCol w:w="60"/>
        <w:gridCol w:w="6825"/>
        <w:gridCol w:w="60"/>
        <w:gridCol w:w="1268"/>
      </w:tblGrid>
      <w:tr>
        <w:trPr/>
        <w:tc>
          <w:tcPr>
            <w:tcW w:w="19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Chief Financial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Tamer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Tamer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Warran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 Jordan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 Jordan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19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9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ex4-6.htm"/>
      <w:bookmarkStart w:id="4" w:name="ksex46"/>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LOTTERY.COM </w:t>
      </w:r>
      <w:r>
        <w:rPr>
          <w:rFonts w:ascii="Times New Roman;Times;Serif" w:hAnsi="Times New Roman;Times;Serif"/>
          <w:b/>
          <w:i w:val="false"/>
          <w:caps w:val="false"/>
          <w:smallCaps w:val="false"/>
          <w:sz w:val="20"/>
        </w:rPr>
        <w:t>2021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u w:val="single"/>
        </w:rPr>
        <w:t>Establishment of the Plan; Effective Date; Duration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Establishment of the Plan; Effective Date</w:t>
      </w:r>
      <w:r>
        <w:rPr>
          <w:rFonts w:ascii="Times New Roman;Times;Serif" w:hAnsi="Times New Roman;Times;Serif"/>
          <w:b w:val="false"/>
          <w:i w:val="false"/>
          <w:caps w:val="false"/>
          <w:smallCaps w:val="false"/>
          <w:sz w:val="20"/>
        </w:rPr>
        <w:t>. Lottery.com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establishes this incentive compensation plan to be known as the “Lottery.com 2021 Incentive Plan,”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The Plan permits the grant of Incentive Stock Options, Nonqualified Stock Options, Stock Appreciation Rights, Restricted Stock, Restricted Stock Units, Other Stock-Based Awards, Other Cash-Based Awards and Dividend Equivalents. If the Plan is not approved by the stockholders of the Company on or prior to the Effective Date, then the Plan will be null and void in its entirety. The Plan shall remain in effect as provided in Section 1(b) of the Plan. Capitalized but undefined terms shall have the meaning set forth in Section 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Duration of the Plan</w:t>
      </w:r>
      <w:r>
        <w:rPr>
          <w:rFonts w:ascii="Times New Roman;Times;Serif" w:hAnsi="Times New Roman;Times;Serif"/>
          <w:b w:val="false"/>
          <w:i w:val="false"/>
          <w:caps w:val="false"/>
          <w:smallCaps w:val="false"/>
          <w:sz w:val="20"/>
        </w:rPr>
        <w:t>. The Plan shall commence on the Effective Date and shall remain in effect, subject to the right of the Board to amend or terminate the Plan at any time pursuant to Section 13. However, in no event may an Award be granted under the Plan on or after ten years from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u w:val="single"/>
        </w:rPr>
        <w:t>Purpose</w:t>
      </w:r>
      <w:r>
        <w:rPr>
          <w:rFonts w:ascii="Times New Roman;Times;Serif" w:hAnsi="Times New Roman;Times;Serif"/>
          <w:b w:val="false"/>
          <w:i w:val="false"/>
          <w:caps w:val="false"/>
          <w:smallCaps w:val="false"/>
          <w:sz w:val="20"/>
        </w:rPr>
        <w:t>. The purpose of the Plan is to provide a means through which the Company and its Affiliates may attract and retain key personnel and to provide a means whereby certain directors, officers, employees, consultants and advisors (and certain prospective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u w:val="single"/>
        </w:rPr>
        <w:t>Definitions</w:t>
      </w:r>
      <w:r>
        <w:rPr>
          <w:rFonts w:ascii="Times New Roman;Times;Serif" w:hAnsi="Times New Roman;Times;Serif"/>
          <w:b w:val="false"/>
          <w:i w:val="false"/>
          <w:caps w:val="false"/>
          <w:smallCaps w:val="false"/>
          <w:sz w:val="20"/>
        </w:rPr>
        <w:t>. Certain terms used herein have the definitions given to them in the first instance in which they are used. In addition, for purposes of the Plan, the following terms are defined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Affiliate</w:t>
      </w:r>
      <w:r>
        <w:rPr>
          <w:rFonts w:ascii="Times New Roman;Times;Serif" w:hAnsi="Times New Roman;Times;Serif"/>
          <w:b w:val="false"/>
          <w:i w:val="false"/>
          <w:caps w:val="false"/>
          <w:smallCaps w:val="false"/>
          <w:sz w:val="20"/>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as are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u w:val="single"/>
        </w:rPr>
        <w:t>Award</w:t>
      </w:r>
      <w:r>
        <w:rPr>
          <w:rFonts w:ascii="Times New Roman;Times;Serif" w:hAnsi="Times New Roman;Times;Serif"/>
          <w:b w:val="false"/>
          <w:i w:val="false"/>
          <w:caps w:val="false"/>
          <w:smallCaps w:val="false"/>
          <w:sz w:val="20"/>
        </w:rPr>
        <w:t>” means, individually or collectively, any Incentive Stock Option, Nonqualified Stock Option, Stock Appreciation Right, Restricted Stock, Restricted Stock Unit, Other Stock-Based Awards, Other Cash-Based Awards, and/or Dividend Equivalents,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u w:val="single"/>
        </w:rPr>
        <w:t>Award Agreement</w:t>
      </w:r>
      <w:r>
        <w:rPr>
          <w:rFonts w:ascii="Times New Roman;Times;Serif" w:hAnsi="Times New Roman;Times;Serif"/>
          <w:b w:val="false"/>
          <w:i w:val="false"/>
          <w:caps w:val="false"/>
          <w:smallCaps w:val="false"/>
          <w:sz w:val="20"/>
        </w:rPr>
        <w:t>” means a written agreement between a Participant and the Company which sets out the terms of the grant of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u w:val="single"/>
        </w:rPr>
        <w:t>Cause</w:t>
      </w:r>
      <w:r>
        <w:rPr>
          <w:rFonts w:ascii="Times New Roman;Times;Serif" w:hAnsi="Times New Roman;Times;Serif"/>
          <w:b w:val="false"/>
          <w:i w:val="false"/>
          <w:caps w:val="false"/>
          <w:smallCaps w:val="false"/>
          <w:sz w:val="20"/>
        </w:rPr>
        <w:t>”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employment or other service to the Company or an Affiliate; (C) alcohol abuse or use of controlled substances other than in accordance with a physician’s prescription; (D) refusal to perform any lawful, material obligation or fulfill any duty (other than any duty or obligation of the type described in clause (F) below) to the Company or its Affiliates (other than due to a disability, as determined by the Committee), which refusal, if curable, is not cured within 15 days after delivery of written notice thereof; (E) material breach of any agreement with or duty owed to the Company or any of its Affiliates, which breach, if curable, is not cured within 15 days after the delivery of written notice thereof; or (F) any breach of any obligation or duty to the Company or any of its Affiliates (whether arising by statute, common law or agreement) relating to confidentiality, noncompetition, nonsolicitation and/or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u w:val="single"/>
        </w:rPr>
        <w:t>Change in Contro</w:t>
      </w:r>
      <w:r>
        <w:rPr>
          <w:rFonts w:ascii="Times New Roman;Times;Serif" w:hAnsi="Times New Roman;Times;Serif"/>
          <w:b w:val="false"/>
          <w:i w:val="false"/>
          <w:caps w:val="false"/>
          <w:smallCaps w:val="false"/>
          <w:sz w:val="20"/>
        </w:rPr>
        <w:t>l” shall, in the case of a particular Award, unless the applicable Award Agreement states otherwise or contains a different definition of “Change in Control,” be deemed to occur upon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as such term is used in Sections 13(d) and 14(d) of the Exchange Act (other than (A) the Company or any of its Affiliates, (B) any trustee or other fiduciary holding securities under any employee benefit plan of the Company or any of its Affiliates, (C) an underwriter temporarily holding securities pursuant to an offering of such securities, or (D) an entity owned, directly or indirectly, by the stockholders of the Company in substantially the same proportions as their ownership of Common Stock) becomes the “beneficial owner” (as defined in Rule 13d-3 under the Exchange Act), directly or indirectly, by way of merger, consolidation, recapitalization, reorganization or otherwise, of fifty percent (50%) or more of the total voting power of the then outstanding voting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cessation of control (by virtue of their not constituting a majority of directors) of the Board by the individuals who (x) were directors on the Effective Date or (y) become directors after Effective Date and whose election or nomination for election by the Company’s stockholders was approved by a vote of at least two-thirds of the directors then in office who were directors on the Effective Date or whose election or nomination for election was previously so approved;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 merger or consolidation of the Company with any other company,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consummation of a plan of complete liquidation of the Company or the sale or disposition by the Company of all or substantially all the Company’s assets;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event specified as a “Change in Control” in an applicable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(iii), (iv), or (v)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u w:val="single"/>
        </w:rPr>
        <w:t>Claim</w:t>
      </w:r>
      <w:r>
        <w:rPr>
          <w:rFonts w:ascii="Times New Roman;Times;Serif" w:hAnsi="Times New Roman;Times;Serif"/>
          <w:b w:val="false"/>
          <w:i w:val="false"/>
          <w:caps w:val="false"/>
          <w:smallCaps w:val="false"/>
          <w:sz w:val="20"/>
        </w:rPr>
        <w:t>” means any claim, liability or obligation of any nature, arising out of or relating to the Plan or an alleged breach of the Plan or an Award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u w:val="single"/>
        </w:rPr>
        <w:t>Committee</w:t>
      </w:r>
      <w:r>
        <w:rPr>
          <w:rFonts w:ascii="Times New Roman;Times;Serif" w:hAnsi="Times New Roman;Times;Serif"/>
          <w:b w:val="false"/>
          <w:i w:val="false"/>
          <w:caps w:val="false"/>
          <w:smallCaps w:val="false"/>
          <w:sz w:val="20"/>
        </w:rPr>
        <w:t>” means a committee of at least two people as the Board may appoint to administer the Plan or, if no such committee has been appointed by the Board,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val="false"/>
          <w:caps w:val="false"/>
          <w:smallCaps w:val="false"/>
          <w:sz w:val="20"/>
        </w:rPr>
        <w:t>” means Lottery.com,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u w:val="single"/>
        </w:rPr>
        <w:t>Date of Gran</w:t>
      </w:r>
      <w:r>
        <w:rPr>
          <w:rFonts w:ascii="Times New Roman;Times;Serif" w:hAnsi="Times New Roman;Times;Serif"/>
          <w:b w:val="false"/>
          <w:i w:val="false"/>
          <w:caps w:val="false"/>
          <w:smallCaps w:val="false"/>
          <w:sz w:val="20"/>
        </w:rPr>
        <w:t>t” means the date on which the granting of an Award is authorized, or such other date as may be specified in such authorization or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u w:val="single"/>
        </w:rPr>
        <w:t>Dividend Equivalent</w:t>
      </w:r>
      <w:r>
        <w:rPr>
          <w:rFonts w:ascii="Times New Roman;Times;Serif" w:hAnsi="Times New Roman;Times;Serif"/>
          <w:b w:val="false"/>
          <w:i w:val="false"/>
          <w:caps w:val="false"/>
          <w:smallCaps w:val="false"/>
          <w:sz w:val="20"/>
        </w:rPr>
        <w:t>” means a right awarded under Section 11 to receive the equivalent value (in cash or Common Stock) of ordinary dividends that would otherwise be paid on the Common Stock subject to an Award that is a full-value award but that have not been issued or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u w:val="single"/>
        </w:rPr>
        <w:t>Effective Date</w:t>
      </w:r>
      <w:r>
        <w:rPr>
          <w:rFonts w:ascii="Times New Roman;Times;Serif" w:hAnsi="Times New Roman;Times;Serif"/>
          <w:b w:val="false"/>
          <w:i w:val="false"/>
          <w:caps w:val="false"/>
          <w:smallCaps w:val="false"/>
          <w:sz w:val="20"/>
        </w:rPr>
        <w:t>” means the later of (i) the date that the Company’s stockholders approve the Plan and (ii) October 29,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u w:val="single"/>
        </w:rPr>
        <w:t>Eligible Directo</w:t>
      </w:r>
      <w:r>
        <w:rPr>
          <w:rFonts w:ascii="Times New Roman;Times;Serif" w:hAnsi="Times New Roman;Times;Serif"/>
          <w:b w:val="false"/>
          <w:i w:val="false"/>
          <w:caps w:val="false"/>
          <w:smallCaps w:val="false"/>
          <w:sz w:val="20"/>
        </w:rPr>
        <w:t>r” means a person who is a “non-employee director” within the meaning of Rule 16b-3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u w:val="single"/>
        </w:rPr>
        <w:t>Eligible Person</w:t>
      </w:r>
      <w:r>
        <w:rPr>
          <w:rFonts w:ascii="Times New Roman;Times;Serif" w:hAnsi="Times New Roman;Times;Serif"/>
          <w:b w:val="false"/>
          <w:i w:val="false"/>
          <w:caps w:val="false"/>
          <w:smallCaps w:val="false"/>
          <w:sz w:val="20"/>
        </w:rPr>
        <w:t xml:space="preserve">” with respect to an Award denominated in Common Stock, means any (i) individual employed by the Company or an Affiliate; (ii) director of the Company or an Affiliate; (iii) consultant or advisor to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 provided, that, the Date of Grant of any Award to such individual shall not be prior to the date he begins employment with or begins providing services to the Company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it may be amended from time to time, including the rules and regulations promulgated thereunder and successor provisions and rules and regulations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u w:val="single"/>
        </w:rPr>
        <w:t>Exercise Price</w:t>
      </w:r>
      <w:r>
        <w:rPr>
          <w:rFonts w:ascii="Times New Roman;Times;Serif" w:hAnsi="Times New Roman;Times;Serif"/>
          <w:b w:val="false"/>
          <w:i w:val="false"/>
          <w:caps w:val="false"/>
          <w:smallCaps w:val="false"/>
          <w:sz w:val="20"/>
        </w:rPr>
        <w:t>” has the meaning given such term in Section 7(b)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a share of Common Stock determined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a national market system, the per share closing sales price for shares of Common Stock (or the closing bid, if no sales were reported) as quoted on such exchange or system on the day of determination, as reported in The Wall Street Journal or such other source as the Committee deems reliable;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Common Stock is regularly quoted by a recognized securities dealer but selling prices are not reported, the Fair Market Value of a share of Common Stock will be the mean between the high bid and low asked per share prices for the Common Stock on the day of determination, as reported in The Wall Street Journal or such other source as the Committee deems reliable;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Common Stock, the Fair Market Value will be determined in good faith by the Committee (acting on the advice of an Independent Third Party, should the Committee elect in its sole discretion to utilize an Independent Third Party for this purpose).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u w:val="single"/>
        </w:rPr>
        <w:t>Immediate Family Members</w:t>
      </w:r>
      <w:r>
        <w:rPr>
          <w:rFonts w:ascii="Times New Roman;Times;Serif" w:hAnsi="Times New Roman;Times;Serif"/>
          <w:b w:val="false"/>
          <w:i w:val="false"/>
          <w:caps w:val="false"/>
          <w:smallCaps w:val="false"/>
          <w:sz w:val="20"/>
        </w:rPr>
        <w:t>” shall have the meaning set forth in Section 14(b)(ii).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is designated by the Committee as an incentive stock option as described in Section 422 of the Code and otherwise meets the requirements set forth in the Plan for incentive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u w:val="single"/>
        </w:rPr>
        <w:t>Indemnifiable Person</w:t>
      </w:r>
      <w:r>
        <w:rPr>
          <w:rFonts w:ascii="Times New Roman;Times;Serif" w:hAnsi="Times New Roman;Times;Serif"/>
          <w:b w:val="false"/>
          <w:i w:val="false"/>
          <w:caps w:val="false"/>
          <w:smallCaps w:val="false"/>
          <w:sz w:val="20"/>
        </w:rPr>
        <w:t>” shall have the meaning set forth in Section 4(e)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u w:val="single"/>
        </w:rPr>
        <w:t>Independent Third Party</w:t>
      </w:r>
      <w:r>
        <w:rPr>
          <w:rFonts w:ascii="Times New Roman;Times;Serif" w:hAnsi="Times New Roman;Times;Serif"/>
          <w:b w:val="false"/>
          <w:i w:val="false"/>
          <w:caps w:val="false"/>
          <w:smallCaps w:val="false"/>
          <w:sz w:val="20"/>
        </w:rPr>
        <w:t>” 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u w:val="single"/>
        </w:rPr>
        <w:t>Mature Shares</w:t>
      </w:r>
      <w:r>
        <w:rPr>
          <w:rFonts w:ascii="Times New Roman;Times;Serif" w:hAnsi="Times New Roman;Times;Serif"/>
          <w:b w:val="false"/>
          <w:i w:val="false"/>
          <w:caps w:val="false"/>
          <w:smallCaps w:val="false"/>
          <w:sz w:val="20"/>
        </w:rPr>
        <w:t>” means Common Stock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tax or deduction obligation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u w:val="single"/>
        </w:rPr>
        <w:t>Nonqualified Stock Option</w:t>
      </w:r>
      <w:r>
        <w:rPr>
          <w:rFonts w:ascii="Times New Roman;Times;Serif" w:hAnsi="Times New Roman;Times;Serif"/>
          <w:b w:val="false"/>
          <w:i w:val="false"/>
          <w:caps w:val="false"/>
          <w:smallCaps w:val="false"/>
          <w:sz w:val="20"/>
        </w:rPr>
        <w:t>” means an Option that is not designated by the Committee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u w:val="single"/>
        </w:rPr>
        <w:t>Option</w:t>
      </w:r>
      <w:r>
        <w:rPr>
          <w:rFonts w:ascii="Times New Roman;Times;Serif" w:hAnsi="Times New Roman;Times;Serif"/>
          <w:b w:val="false"/>
          <w:i w:val="false"/>
          <w:caps w:val="false"/>
          <w:smallCaps w:val="false"/>
          <w:sz w:val="20"/>
        </w:rPr>
        <w:t>” means an Award granted under Section 7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u w:val="single"/>
        </w:rPr>
        <w:t>Option Period</w:t>
      </w:r>
      <w:r>
        <w:rPr>
          <w:rFonts w:ascii="Times New Roman;Times;Serif" w:hAnsi="Times New Roman;Times;Serif"/>
          <w:b w:val="false"/>
          <w:i w:val="false"/>
          <w:caps w:val="false"/>
          <w:smallCaps w:val="false"/>
          <w:sz w:val="20"/>
        </w:rPr>
        <w:t>” has the meaning given such term in Section 7(c)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u w:val="single"/>
        </w:rPr>
        <w:t>Other Cash-Based Award</w:t>
      </w:r>
      <w:r>
        <w:rPr>
          <w:rFonts w:ascii="Times New Roman;Times;Serif" w:hAnsi="Times New Roman;Times;Serif"/>
          <w:b w:val="false"/>
          <w:i w:val="false"/>
          <w:caps w:val="false"/>
          <w:smallCaps w:val="false"/>
          <w:sz w:val="20"/>
        </w:rPr>
        <w:t>” means a cash Award granted to a Participant under Section 10 of the Plan, including cash awarded as a bonus or upon the attainment of Performance Goals or otherwise as permitted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u w:val="single"/>
        </w:rPr>
        <w:t>Other Stock-Based Award</w:t>
      </w:r>
      <w:r>
        <w:rPr>
          <w:rFonts w:ascii="Times New Roman;Times;Serif" w:hAnsi="Times New Roman;Times;Serif"/>
          <w:b w:val="false"/>
          <w:i w:val="false"/>
          <w:caps w:val="false"/>
          <w:smallCaps w:val="false"/>
          <w:sz w:val="20"/>
        </w:rPr>
        <w:t>” means an equity-based or equity-related Award, other than an Option, SAR, Restricted Stock, Restricted Stock Unit or Dividend Equivalent, granted in accordance with the terms and conditions set forth under Section 10 of the Plan (including upon the attainment of any Performance Goals or otherwise as permitted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u w:val="single"/>
        </w:rPr>
        <w:t>Participant</w:t>
      </w:r>
      <w:r>
        <w:rPr>
          <w:rFonts w:ascii="Times New Roman;Times;Serif" w:hAnsi="Times New Roman;Times;Serif"/>
          <w:b w:val="false"/>
          <w:i w:val="false"/>
          <w:caps w:val="false"/>
          <w:smallCaps w:val="false"/>
          <w:sz w:val="20"/>
        </w:rPr>
        <w:t>” means an Eligible Person who has been selected by the Committee to participate in the Plan and to receive an Award pursuant to Section 6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u w:val="single"/>
        </w:rPr>
        <w:t>Performance Goals</w:t>
      </w:r>
      <w:r>
        <w:rPr>
          <w:rFonts w:ascii="Times New Roman;Times;Serif" w:hAnsi="Times New Roman;Times;Serif"/>
          <w:b w:val="false"/>
          <w:i w:val="false"/>
          <w:caps w:val="false"/>
          <w:smallCaps w:val="false"/>
          <w:sz w:val="20"/>
        </w:rPr>
        <w:t>” means any objective or subjective goals the Committee establishes with respect to an Award. Performance Goals may include, but are not limited to, the performance of the Company or any one or more of its Subsidiaries, Affiliates or other business units with respect to the following measures: net sales; cost of sales; gross income; gross revenue; revenue; operating income; earnings before taxes; earnings before interest and taxes; earnings before interest, taxes, depreciation and amortization; earnings before interest, taxes, depreciation, amortization and exception items; income from continuing operations; net income; earnings per share; diluted earnings per share; total stockholder return; Fair Market Value; cash flow; net cash provided by operating activities; net cash provided by operating activities less net cash used in investing activities; ratio of debt to debt plus equity; return on stockholder equity; return on invested capital; return on average total capital employed; return on net capital employed; return on assets; return on net assets employed before interest and taxes; operating working capital; average accounts receivable (calculated by taking the average of accounts receivable at the end of each month); average inventories (calculated by taking the average of inventories at the end of each month); economic value added; succession planning; manufacturing return on assets; manufacturing margin; and customer satisfaction. Performance Goals may also relate to a Participant’s individual performance and may, unless provided otherwise in the Award Agreement, be adjusted in the Committee’s discretion.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u w:val="single"/>
        </w:rPr>
        <w:t>Permitted Transferee</w:t>
      </w:r>
      <w:r>
        <w:rPr>
          <w:rFonts w:ascii="Times New Roman;Times;Serif" w:hAnsi="Times New Roman;Times;Serif"/>
          <w:b w:val="false"/>
          <w:i w:val="false"/>
          <w:caps w:val="false"/>
          <w:smallCaps w:val="false"/>
          <w:sz w:val="20"/>
        </w:rPr>
        <w:t>” shall have the meaning set forth in Section 14(b)(ii)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u w:val="single"/>
        </w:rPr>
        <w:t>Person</w:t>
      </w:r>
      <w:r>
        <w:rPr>
          <w:rFonts w:ascii="Times New Roman;Times;Serif" w:hAnsi="Times New Roman;Times;Serif"/>
          <w:b w:val="false"/>
          <w:i w:val="false"/>
          <w:caps w:val="false"/>
          <w:smallCaps w:val="false"/>
          <w:sz w:val="20"/>
        </w:rPr>
        <w:t>” means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u w:val="single"/>
        </w:rPr>
        <w:t>Plan</w:t>
      </w:r>
      <w:r>
        <w:rPr>
          <w:rFonts w:ascii="Times New Roman;Times;Serif" w:hAnsi="Times New Roman;Times;Serif"/>
          <w:b w:val="false"/>
          <w:i w:val="false"/>
          <w:caps w:val="false"/>
          <w:smallCaps w:val="false"/>
          <w:sz w:val="20"/>
        </w:rPr>
        <w:t>” means this Lottery.com 2021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u w:val="single"/>
        </w:rPr>
        <w:t>Restricted Period</w:t>
      </w:r>
      <w:r>
        <w:rPr>
          <w:rFonts w:ascii="Times New Roman;Times;Serif" w:hAnsi="Times New Roman;Times;Serif"/>
          <w:b w:val="false"/>
          <w:i w:val="false"/>
          <w:caps w:val="false"/>
          <w:smallCaps w:val="false"/>
          <w:sz w:val="20"/>
        </w:rPr>
        <w:t>” means the period of time determined by the Committee during which an Award is subject to restrictions or, as applicable, the period of time within which performance is measured for purposes of determining whether an Award has been earned.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u w:val="single"/>
        </w:rPr>
        <w:t>Restricted Stock Unit</w:t>
      </w:r>
      <w:r>
        <w:rPr>
          <w:rFonts w:ascii="Times New Roman;Times;Serif" w:hAnsi="Times New Roman;Times;Serif"/>
          <w:b w:val="false"/>
          <w:i w:val="false"/>
          <w:caps w:val="false"/>
          <w:smallCaps w:val="false"/>
          <w:sz w:val="20"/>
        </w:rPr>
        <w:t>” means an unfunded and unsecured promise to deliver Common Stock, cash, other securities or other property, subject to certain performance or time-based restrictions (including, without limitation, a requirement that the Participant remain continuously employed, provide continuous services for a specified period of time, or attain specified performance objectives), granted under Section 9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u w:val="single"/>
        </w:rPr>
        <w:t>Restricted Stock</w:t>
      </w:r>
      <w:r>
        <w:rPr>
          <w:rFonts w:ascii="Times New Roman;Times;Serif" w:hAnsi="Times New Roman;Times;Serif"/>
          <w:b w:val="false"/>
          <w:i w:val="false"/>
          <w:caps w:val="false"/>
          <w:smallCaps w:val="false"/>
          <w:sz w:val="20"/>
        </w:rPr>
        <w:t>” means Common Stock, subject to certain specified performance or time-based restrictions (including, without limitation, a requirement that the Participant remain continuously employed, provide continuous services for a specified period of time, or attain specified performance objectives), granted under Section 9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u w:val="single"/>
        </w:rPr>
        <w:t>SAR Period</w:t>
      </w:r>
      <w:r>
        <w:rPr>
          <w:rFonts w:ascii="Times New Roman;Times;Serif" w:hAnsi="Times New Roman;Times;Serif"/>
          <w:b w:val="false"/>
          <w:i w:val="false"/>
          <w:caps w:val="false"/>
          <w:smallCaps w:val="false"/>
          <w:sz w:val="20"/>
        </w:rPr>
        <w:t>” has the meaning given such term in Section 8(c)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u w:val="single"/>
        </w:rPr>
        <w:t>Securities Ac</w:t>
      </w:r>
      <w:r>
        <w:rPr>
          <w:rFonts w:ascii="Times New Roman;Times;Serif" w:hAnsi="Times New Roman;Times;Serif"/>
          <w:b w:val="false"/>
          <w:i w:val="false"/>
          <w:caps w:val="false"/>
          <w:smallCaps w:val="false"/>
          <w:sz w:val="20"/>
        </w:rPr>
        <w:t>t” 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u w:val="single"/>
        </w:rPr>
        <w:t>SAR</w:t>
      </w:r>
      <w:r>
        <w:rPr>
          <w:rFonts w:ascii="Times New Roman;Times;Serif" w:hAnsi="Times New Roman;Times;Serif"/>
          <w:b w:val="false"/>
          <w:i w:val="false"/>
          <w:caps w:val="false"/>
          <w:smallCaps w:val="false"/>
          <w:sz w:val="20"/>
        </w:rPr>
        <w:t>” means an Award granted under Section 8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u w:val="single"/>
        </w:rPr>
        <w:t>Strike Price</w:t>
      </w:r>
      <w:r>
        <w:rPr>
          <w:rFonts w:ascii="Times New Roman;Times;Serif" w:hAnsi="Times New Roman;Times;Serif"/>
          <w:b w:val="false"/>
          <w:i w:val="false"/>
          <w:caps w:val="false"/>
          <w:smallCaps w:val="false"/>
          <w:sz w:val="20"/>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u w:val="single"/>
        </w:rPr>
        <w:t>Subsidiary</w:t>
      </w:r>
      <w:r>
        <w:rPr>
          <w:rFonts w:ascii="Times New Roman;Times;Serif" w:hAnsi="Times New Roman;Times;Serif"/>
          <w:b w:val="false"/>
          <w:i w:val="false"/>
          <w:caps w:val="false"/>
          <w:smallCaps w:val="false"/>
          <w:sz w:val="20"/>
        </w:rPr>
        <w:t>” means, with respect to any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corporation, association or other business entity of which more than 50% of the total voting power of shares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u w:val="single"/>
        </w:rPr>
        <w:t>Substitute Award</w:t>
      </w:r>
      <w:r>
        <w:rPr>
          <w:rFonts w:ascii="Times New Roman;Times;Serif" w:hAnsi="Times New Roman;Times;Serif"/>
          <w:b w:val="false"/>
          <w:i w:val="false"/>
          <w:caps w:val="false"/>
          <w:smallCaps w:val="false"/>
          <w:sz w:val="20"/>
        </w:rPr>
        <w:t>” has the meaning given such term in Section 5(e).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u w:val="single"/>
        </w:rPr>
        <w:t>Administration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shall administer the Plan. To the extent required to comply with the provisions of Rule 16b-3 promulgated under the Exchange Act or Applicable Law (if the Board is not acting as the Committee under the Plan), it is intended that each member of the Committee shall, at the time he takes any action with respect to an Award under the Plan, be an Eligible Director, in the case of Rule 16b-3, or a member of the Board, in the case of Applicable Law. However, the fact that a Committee member shall fail to qualify as an Eligible Director shall not invalidate any Award granted by the Committee that is otherwise validly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(including any Performance Goals, criteria, and/or periods applicable to Awards); (v) determine whether, to what extent, and under what circumstances Awards may be settled or exercised in cash,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including any changes required to comply with Applicable Laws; (viii) establish, amend, suspend, or waive any rules and regulations and appoint such agents as the Committee shall deem appropriate for the proper administration of the Plan; (ix) accelerate the vesting or exercisability of, payment for or lapse of restrictions on, Awards; (x) modify any Performance Goals, criteria and/or periods; and (y) make any other determination and take any other action that the Committee deems necessary or desirable for the administration of the Plan, in each case, to the extent consistent with the terms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member of the Board, the Committee, delegate of the Committee or any employee or agent of the Company (each such person, an “</w:t>
      </w:r>
      <w:r>
        <w:rPr>
          <w:rFonts w:ascii="Times New Roman;Times;Serif" w:hAnsi="Times New Roman;Times;Serif"/>
          <w:b w:val="false"/>
          <w:i w:val="false"/>
          <w:caps w:val="false"/>
          <w:smallCaps w:val="false"/>
          <w:sz w:val="20"/>
          <w:u w:val="single"/>
        </w:rPr>
        <w:t>Indemnifiable Person</w:t>
      </w:r>
      <w:r>
        <w:rPr>
          <w:rFonts w:ascii="Times New Roman;Times;Serif" w:hAnsi="Times New Roman;Times;Serif"/>
          <w:b w:val="false"/>
          <w:i w:val="false"/>
          <w:caps w:val="false"/>
          <w:smallCaps w:val="false"/>
          <w:sz w:val="20"/>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u w:val="single"/>
        </w:rPr>
        <w:t>Grant of Awards; Shares Subject to the Plan;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from time to time, grant Awards to one or more Eligible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12 of the Plan, Awards granted under the Plan shall be subject to the following limitations: (i) the Committee is authorized to deliver under the Plan an aggregate of 3,750,000 shares of Common Stock; provided, that the total number of shares of Common Stock that will be reserved, and that may be issued, under the Plan will automatically increase on the first trading day of each calendar year, beginning with calendar year 2027, by a number of shares of Common Stock equal to five percent (5%) of the total outstanding shares of Common Stock on the last day of the prior calendar year, and (ii) the maximum number of shares of Common Stock that may be subject to an Award granted under the Plan during any single fiscal year to any Participant who is a non-employee director, when taken together with any cash fees paid to such non-employee director during such year in respect of his service as a non-employee director (including service as a member or chair of any committee of the Board), shall not exceed $1,000,000 in total value (calculating the value of any such Award based on the Fair Market Value on the Date of Grant of such Award for financial reporting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non-employee directors who are considered independent (under the rules of NASDAQ or other securities exchange on which the Common Stock is traded) may make exceptions to this limit for a non-executive chair of the Board, if any, in which case the non-employee director receiving such additional compensation may not participate in the decision to award such compensation. Notwithstanding the automatic annual increase set forth in (i) above, the Board may act prior to January 1st of a given year to provide that there will be no such increase in the share reserve for such year or that the increase in the share reserve for such year will be a lesser number of shares of Common Stock than would otherwise occur pursuant to the stipulated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(i) any Option or other Award granted hereunder is exercised through the tendering of Common Stock (either actually or by attestation) or by the withholding of Common Stock by the Company, or (ii) tax or deduction liabilities arising from such Option or other Award are satisfied by the tendering of Common Stock (either actually or by attestation) or by the withholding of Common Stock by the Company, then in each such case the shares of Common Stock so tendered or withheld shall be added to the shares of Common Stock available for grant under the Plan on a one-for-one basis. Shares underlying Awards under this Plan that are forfeited, canceled, expire unexercised, or are settled in cash shall also be available again for issuance as Awards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Common Stock delivered by the Company in settlement of Awards may be authorized and unissued shares, shares held in the treasury of the Company, shares purchased on the open market or by private purchase, or a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Awards may, in the sole discretion of the Committee, be granted under the Plan in assumption of, or in substitution for, outstanding awards previously granted by an entity acquired by the Company or with which the Company combines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The number of shares of Common Stock underlying any Substitute Awards shall not be counted against the aggregate number of shares of Common Stock available for Awards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u w:val="single"/>
        </w:rPr>
        <w:t>Eligibility</w:t>
      </w:r>
      <w:r>
        <w:rPr>
          <w:rFonts w:ascii="Times New Roman;Times;Serif" w:hAnsi="Times New Roman;Times;Serif"/>
          <w:b w:val="false"/>
          <w:i w:val="false"/>
          <w:caps w:val="false"/>
          <w:smallCaps w:val="false"/>
          <w:sz w:val="20"/>
        </w:rPr>
        <w:t>. Participation shall be limited to Eligible Persons who have entered into an Award Agreement or who have received written notification from the Committee, or from a person designated by the Committee, that they have been selected to participate in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u w:val="single"/>
        </w:rPr>
        <w:t>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Generally</w:t>
      </w:r>
      <w:r>
        <w:rPr>
          <w:rFonts w:ascii="Times New Roman;Times;Serif" w:hAnsi="Times New Roman;Times;Serif"/>
          <w:b w:val="false"/>
          <w:i w:val="false"/>
          <w:caps w:val="false"/>
          <w:smallCaps w:val="false"/>
          <w:sz w:val="20"/>
        </w:rPr>
        <w:t xml:space="preserve">.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Subject to Section 12, the maximum aggregate number of shares of Common Stock that may be issued through the exercise of Incentive Stock Options granted under the Plan is 13,130,368 shares of Common Stock, and, for the avoidance of doubt, such share limit shall not be subject to the annual adjustment provided in Section 5(b)(i).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Exercise Price</w:t>
      </w:r>
      <w:r>
        <w:rPr>
          <w:rFonts w:ascii="Times New Roman;Times;Serif" w:hAnsi="Times New Roman;Times;Serif"/>
          <w:b w:val="false"/>
          <w:i w:val="false"/>
          <w:caps w:val="false"/>
          <w:smallCaps w:val="false"/>
          <w:sz w:val="20"/>
        </w:rPr>
        <w:t>. Except with respect to Substitute Awards, the exercise price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per share of Common Stock for each Option shall not be less than 100% of the Fair Market Value of such share determined as of the Date of Grant (unless such Option is a Nonqualified Stock Option and complies with the requirements of Section 409A of the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w:t>
      </w:r>
      <w:r>
        <w:rPr>
          <w:rFonts w:ascii="Times New Roman;Times;Serif" w:hAnsi="Times New Roman;Times;Serif"/>
          <w:b w:val="false"/>
          <w:i w:val="false"/>
          <w:caps w:val="false"/>
          <w:smallCaps w:val="false"/>
          <w:sz w:val="20"/>
        </w:rPr>
        <w:t xml:space="preserve">r, that in the case of an Incentive Stock Option granted to an employee who, at the time of the grant of such Option, owns shares representing more than 10% of the total combined voting power of all classes of shares of the Company or any related corporation (as determined in accordance with Treasury Regulation Section 1.422-2(f)), the Exercise Price per share shall not be less than 110% of the Fair Market Value per share on the Date of Grant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notwithstanding any provision herein to the contrary, the Exercise Price shall not be less than the par value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Vesting and Expiration</w:t>
      </w:r>
      <w:r>
        <w:rPr>
          <w:rFonts w:ascii="Times New Roman;Times;Serif" w:hAnsi="Times New Roman;Times;Serif"/>
          <w:b w:val="false"/>
          <w:i w:val="false"/>
          <w:caps w:val="false"/>
          <w:smallCaps w:val="false"/>
          <w:sz w:val="20"/>
        </w:rPr>
        <w:t>. Options shall vest and become exercisable in such manner and on such date or dates determined by the Committee (including, if applicable, the attainment of any Performance Goals, as determined by the Committee in the applicable Award Agreement) and shall expire after such period, not to exceed ten years, as may be determined by the Committee (the “</w:t>
      </w:r>
      <w:r>
        <w:rPr>
          <w:rFonts w:ascii="Times New Roman;Times;Serif" w:hAnsi="Times New Roman;Times;Serif"/>
          <w:b w:val="false"/>
          <w:i w:val="false"/>
          <w:caps w:val="false"/>
          <w:smallCaps w:val="false"/>
          <w:sz w:val="20"/>
          <w:u w:val="single"/>
        </w:rPr>
        <w:t>Option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Option Period shall not exceed five years from the Date of Grant in the case of an Incentive Stock Option granted to a Participant who on the Date of Grant owns shares representing more than 10% of the total combined voting power of all classes of shares of the Company or any related corporation (as determined in accordance with Treasury Regulation Section 1.422-2(f));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 vesting dates set by the Committee, the Committee may, in its sole discretion, accelerate the exercisability of any Option, which acceleration shall not affect the terms and conditions of such Option other than with respect to exercisability. In the event of any termination of employment or service with the Company or its Affiliates thereof of a Participant who has been granted one or more Options, the Options shall be exercisable at the time or times and subject to the terms and conditions set forth in the Award Agreement. If the Option would expire at a time when the exercise of the Option would violate applicable securities laws, the expiration date applicable to the Option will be automatically extended to a date that is 30 calendar days following the date such exercise would no longer violate applicable securities laws (so long as such extension shall not violate Section 409A of the Code);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in no event shall such expiration date be extended beyond the expiration of the Option Period.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Method of Exercise and Form of Payment</w:t>
      </w:r>
      <w:r>
        <w:rPr>
          <w:rFonts w:ascii="Times New Roman;Times;Serif" w:hAnsi="Times New Roman;Times;Serif"/>
          <w:b w:val="false"/>
          <w:i w:val="false"/>
          <w:caps w:val="false"/>
          <w:smallCaps w:val="false"/>
          <w:sz w:val="20"/>
        </w:rPr>
        <w:t xml:space="preserve">. No Common Stock shall be delivered pursuant to any exercise of an Option until payment in full of the Exercise Price therefor is received by the Company and the Participant has paid to the Company an amount equal to any taxes required to be withheld or paid upon exercise of such Option.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Stock valued at the Fair Market Value at the time the Option is exercised (including, pursuant to procedures approved by the Committee, by means of attestation of ownership of a sufficient number of Common Stock in lieu of actual delivery of such shares to the Company);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such Common Stock are not subject to any pledge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(B) if there is a public market for the Common Stock at such time, by means of a broker-assisted “cashless exercise” pursuant to which the Company is delivered a copy of irrevocable instructions to a stockbroker to sell the Common Stock otherwise deliverable upon the exercise of the Option and to deliver promptly to the Company an amount equal to the Exercise Price, or (C) by a “net exercise” method whereby the Company withholds from the delivery of the shares of Common Stock for which the Option was exercised that number of shares of Common Stock having a Fair Market Value equal to the aggregate Exercise Price for the shares of Common Stock for which the Option was exercised. No fractional shares of Common Stock shall be issued or delivered pursuant to the Plan or any Award, and the Committee shall determine whether cash, other securities or other property shall be paid or transferred in lieu of any fractional share of Common Stock, or whether such fractional share of Common Stock or any rights thereto shall be canceled, terminated or otherwise eliminated.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Notification upon Disqualifying Disposition of an Incentive Stock Option</w:t>
      </w:r>
      <w:r>
        <w:rPr>
          <w:rFonts w:ascii="Times New Roman;Times;Serif" w:hAnsi="Times New Roman;Times;Serif"/>
          <w:b w:val="false"/>
          <w:i w:val="false"/>
          <w:caps w:val="false"/>
          <w:smallCaps w:val="false"/>
          <w:sz w:val="20"/>
        </w:rPr>
        <w:t>. Each Participant awarded an Incentive Stock Option under the Plan shall notify the Company in writing immediately after the date he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or (ii) one year after the date of exercise of the Incentive Stock Option. The Company may, if determined by the Committee and in accordance with procedures established by the Committee, retain possession of any Common Stock acquired pursuant to the exercise of an Incentive Stock Option as agent for the applicable Participant until the end of the period described in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u w:val="single"/>
        </w:rPr>
        <w:t>Compliance With Laws, etc</w:t>
      </w:r>
      <w:r>
        <w:rPr>
          <w:rFonts w:ascii="Times New Roman;Times;Serif" w:hAnsi="Times New Roman;Times;Serif"/>
          <w:b w:val="false"/>
          <w:i w:val="false"/>
          <w:caps w:val="false"/>
          <w:smallCaps w:val="false"/>
          <w:sz w:val="20"/>
        </w:rPr>
        <w:t>. Notwithstanding the foregoing, in no event shall a Participant be permitted to exercise an Option in a manner that the Committee determines would violate the Sarbanes-Oxley Act of 2002, if applicable; any other Applicable Law; the applicable rules and regulations of the Securities and Exchange Commission; or the applicable rules and regulations of any securities exchange or inter-dealer quotation system on which the securities of the Company are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Generally</w:t>
      </w:r>
      <w:r>
        <w:rPr>
          <w:rFonts w:ascii="Times New Roman;Times;Serif" w:hAnsi="Times New Roman;Times;Serif"/>
          <w:b w:val="false"/>
          <w:i w:val="false"/>
          <w:caps w:val="false"/>
          <w:smallCaps w:val="false"/>
          <w:sz w:val="20"/>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Strike Price</w:t>
      </w:r>
      <w:r>
        <w:rPr>
          <w:rFonts w:ascii="Times New Roman;Times;Serif" w:hAnsi="Times New Roman;Times;Serif"/>
          <w:b w:val="false"/>
          <w:i w:val="false"/>
          <w:caps w:val="false"/>
          <w:smallCaps w:val="false"/>
          <w:sz w:val="20"/>
        </w:rPr>
        <w:t>. The Strike Price per share of Common Stock for each SAR shall not be less than 100% of the Fair Market Value of such share determined as of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Vesting and Expiration</w:t>
      </w:r>
      <w:r>
        <w:rPr>
          <w:rFonts w:ascii="Times New Roman;Times;Serif" w:hAnsi="Times New Roman;Times;Serif"/>
          <w:b w:val="false"/>
          <w:i w:val="false"/>
          <w:caps w:val="false"/>
          <w:smallCaps w:val="false"/>
          <w:sz w:val="20"/>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(including, if applicable, the attainment of any Performance Goals, as shall be determined by the Committee in the applicable Award Agreement) and shall expire after such period, not to exceed ten years, as may be determined by the Committee (the “</w:t>
      </w:r>
      <w:r>
        <w:rPr>
          <w:rFonts w:ascii="Times New Roman;Times;Serif" w:hAnsi="Times New Roman;Times;Serif"/>
          <w:b w:val="false"/>
          <w:i w:val="false"/>
          <w:caps w:val="false"/>
          <w:smallCaps w:val="false"/>
          <w:sz w:val="20"/>
          <w:u w:val="single"/>
        </w:rPr>
        <w:t>SAR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 vesting dates set by the Committee, the Committee may, in its sole discretion, accelerate the exercisability of any SAR, which acceleration shall not affect the terms and conditions of such SAR other than with respect to exercisability. In the event of any termination of employment or service with the Company and its Affiliates thereof of a Participant who has been granted one or more SARs, the SARs shall be exercisable at the time or times and subject to the terms and conditions as set forth in the Award Agreement (or in the underlying Option Award Agreement, as may be applicable). If the SAR would expire at a time when the exercise of the SAR would violate applicable securities laws, the expiration date applicable to the SAR will be automatically extended to a date that is 30 calendar days following the date such exercise would no longer violate applicable securities laws (so long as such extension shall not violate Section 409A of the Code);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in no event shall such expiration date be extended beyond the expiration of the SAR Period.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Method of Exercise</w:t>
      </w:r>
      <w:r>
        <w:rPr>
          <w:rFonts w:ascii="Times New Roman;Times;Serif" w:hAnsi="Times New Roman;Times;Serif"/>
          <w:b w:val="false"/>
          <w:i w:val="false"/>
          <w:caps w:val="false"/>
          <w:smallCaps w:val="false"/>
          <w:sz w:val="20"/>
        </w:rPr>
        <w:t>. SARs that have become exercisable may be exercised by delivery of written or electronic notice of exercise to the Company in accordance with the terms of the Award, specifying the number of SARs to be exercised and the date on which such SARs were awarded.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Payment</w:t>
      </w:r>
      <w:r>
        <w:rPr>
          <w:rFonts w:ascii="Times New Roman;Times;Serif" w:hAnsi="Times New Roman;Times;Serif"/>
          <w:b w:val="false"/>
          <w:i w:val="false"/>
          <w:caps w:val="false"/>
          <w:smallCaps w:val="false"/>
          <w:sz w:val="20"/>
        </w:rPr>
        <w:t>. Upon the exercise of a SAR, the Company shall pay to the Participant an amount equal to the number of shares subject to the SAR that are being exercised, multiplied by the excess, if any, of the Fair Market Value of one share of Common Stock on the exercise date over the Strike Price, less an amount equal to any taxes required to be withheld or paid. The Company shall pay such amount in cash, in Common Stock having a Fair Market Value equal to such amount, or any combination thereof, as determined by the Committee. No fractional shares of Common Stock shall be issued or delivered pursuant to the Plan or any Award, and the Committee shall determine whether cash, other securities or other property shall be paid or transferred in lieu of any fractional share of Common Stock, or whether such fractional share of Common Stock or any rights thereto shall be canceled, terminated or otherwise eliminated.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caps w:val="false"/>
          <w:smallCaps w:val="false"/>
          <w:sz w:val="20"/>
          <w:u w:val="single"/>
        </w:rPr>
        <w:t>Restricted Stock and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Generally</w:t>
      </w:r>
      <w:r>
        <w:rPr>
          <w:rFonts w:ascii="Times New Roman;Times;Serif" w:hAnsi="Times New Roman;Times;Serif"/>
          <w:b w:val="false"/>
          <w:i w:val="false"/>
          <w:caps w:val="false"/>
          <w:smallCaps w:val="false"/>
          <w:sz w:val="20"/>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 (including the Performance Goals, if any, upon whose attainment the Restricted Period shall lapse in part or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Restricted Accounts; Escrow or Similar Arrangement</w:t>
      </w:r>
      <w:r>
        <w:rPr>
          <w:rFonts w:ascii="Times New Roman;Times;Serif" w:hAnsi="Times New Roman;Times;Serif"/>
          <w:b w:val="false"/>
          <w:i w:val="false"/>
          <w:caps w:val="false"/>
          <w:smallCaps w:val="false"/>
          <w:sz w:val="20"/>
        </w:rPr>
        <w:t>. 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provided that such dividends may be made subject to vesting or other conditions or may be required to be reinvested into additional shares of Restricted Stock, as determined by the Committee in its discretion.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Vesting</w:t>
      </w:r>
      <w:r>
        <w:rPr>
          <w:rFonts w:ascii="Times New Roman;Times;Serif" w:hAnsi="Times New Roman;Times;Serif"/>
          <w:b w:val="false"/>
          <w:i w:val="false"/>
          <w:caps w:val="false"/>
          <w:smallCaps w:val="false"/>
          <w:sz w:val="20"/>
        </w:rPr>
        <w:t>. Unless otherwise provided by the Committee in an Award Agreement, the unvested portion of Restricted Stock and Restricted Stock Units shall terminate and be forfeited upon termination of employment or service of the Participant granted the applicable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Delivery of Restricted Stock and Settlement of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or shall register such shares in the Participant’s name without any such restrictions. Dividends, if any, that may have been withheld by the Committee and attributable to any particular share of Restricted Stock shall be distributed to the Participant in cash or, at the sole discretion of the Committee, in shares of Common Stock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otherwise provided by the Committee in an Award Agreement, and subject to any applicable deferral election authorized by the Committee, upon the expiration of the Restricted Period with respect to any outstanding Restricted Stock Units, the Company shall deliver to the Participant, or his beneficiary, without charge, one share of Common Stock for each such outstanding Restricted Stock Unit;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in its sole discretion, elect to (A) pay cash or part cash and part shares of Common Stock in lieu of delivering only Common Stock in respect of such Restricted Stock Units or (B) defer the delivery of Common Stock (or cash or part Common Stock and part cash, as the case may be) beyond the expiration of the Restricted Period if such delivery would result in a violation of Applicable Law until such time as is no longer the case. If a cash payment is made in lieu of delivering Common Stock, the amount of such payment shall be equal to the Fair Market Value of the Common Stock as of the date on which the Restricted Period lapsed with respect to such Restricted Stock Units, less an amount equal to any taxes required to be withheld or 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u w:val="single"/>
        </w:rPr>
        <w:t>Other Stock-Based Awards and Other Cash-Based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Other Stock-Based Awards</w:t>
      </w:r>
      <w:r>
        <w:rPr>
          <w:rFonts w:ascii="Times New Roman;Times;Serif" w:hAnsi="Times New Roman;Times;Serif"/>
          <w:b w:val="false"/>
          <w:i w:val="false"/>
          <w:caps w:val="false"/>
          <w:smallCaps w:val="false"/>
          <w:sz w:val="20"/>
        </w:rPr>
        <w:t>. The Committee may grant types of equity-based or equity-related Awards not otherwise described by the terms of the Plan (including the grant or offer for sale of unrestricted Common Stock), in such amounts and subject to such terms and conditions, as the Committee shall determine (including, if applicable, the attainment of any Performance Goals, as set forth in the applicable Award Agreement). Such Other Stock-Based Awards may involve the transfer of actual Common Stock to Participants, or payment in cash or otherwise of amounts based on the value of Common Stock. The terms and conditions of such Awards shall be consistent with the Plan and set forth in the Award Agreement and need not be uniform among all such Awards or all Participants receiving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Other Cash-Based Awards</w:t>
      </w:r>
      <w:r>
        <w:rPr>
          <w:rFonts w:ascii="Times New Roman;Times;Serif" w:hAnsi="Times New Roman;Times;Serif"/>
          <w:b w:val="false"/>
          <w:i w:val="false"/>
          <w:caps w:val="false"/>
          <w:smallCaps w:val="false"/>
          <w:sz w:val="20"/>
        </w:rPr>
        <w:t>. The Committee may grant a Participant a cash Award not otherwise described by the terms of the Plan, including cash awarded as a bonus or upon the attainment of Performance Goals or otherwise as permitted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Value of Awards</w:t>
      </w:r>
      <w:r>
        <w:rPr>
          <w:rFonts w:ascii="Times New Roman;Times;Serif" w:hAnsi="Times New Roman;Times;Serif"/>
          <w:b w:val="false"/>
          <w:i w:val="false"/>
          <w:caps w:val="false"/>
          <w:smallCaps w:val="false"/>
          <w:sz w:val="20"/>
        </w:rPr>
        <w:t>. Each Other Stock-Based Award shall be expressed in terms of shares of Common Stock or units based on Common Stock, as determined by the Committee, and each Other Cash-Based Award shall be expressed in terms of cash. The Committee may establish Performance Goals in its discretion and any such Performance Goals shall be set forth in the applicable Award Agreement. If the Committee exercises its discretion to establish Performance Goals, the number and/or value of Other Stock-Based Awards or Other Cash-Based Awards that will be paid out to the Participant will depend on the extent to which such Performance Goals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Payment of Awards</w:t>
      </w:r>
      <w:r>
        <w:rPr>
          <w:rFonts w:ascii="Times New Roman;Times;Serif" w:hAnsi="Times New Roman;Times;Serif"/>
          <w:b w:val="false"/>
          <w:i w:val="false"/>
          <w:caps w:val="false"/>
          <w:smallCaps w:val="false"/>
          <w:sz w:val="20"/>
        </w:rPr>
        <w:t>. Payment, if any, with respect to an Other Stock-Based Award or Other Cash-Based Award shall be made in accordance with the terms of the Award, as set forth in the Award Agreement, in cash, Common Stock or a combination of cash and Common Stock, as the Committee determines.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Vesting</w:t>
      </w:r>
      <w:r>
        <w:rPr>
          <w:rFonts w:ascii="Times New Roman;Times;Serif" w:hAnsi="Times New Roman;Times;Serif"/>
          <w:b w:val="false"/>
          <w:i w:val="false"/>
          <w:caps w:val="false"/>
          <w:smallCaps w:val="false"/>
          <w:sz w:val="20"/>
        </w:rPr>
        <w:t>. The Committee shall determine the extent to which the Participant shall have the right to receive Other Stock-Based Awards or Other Cash-Based Awards following the Participant’s termination of employment or service (including by reason of such Participant’s death, disability (as determined by the Committee), or termination without Cause). Such provisions shall be determined in the sole discretion of the Committee and will be included in the applicable Award Agreement but need not be uniform among all Other Stock-Based Awards or Other Cash-Based Awards issued pursuant to the Plan and may reflect distinctions based on the reasons for the termination of employment or service.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u w:val="single"/>
        </w:rPr>
        <w:t>Dividend Equivalents</w:t>
      </w:r>
      <w:r>
        <w:rPr>
          <w:rFonts w:ascii="Times New Roman;Times;Serif" w:hAnsi="Times New Roman;Times;Serif"/>
          <w:b w:val="false"/>
          <w:i w:val="false"/>
          <w:caps w:val="false"/>
          <w:smallCaps w:val="false"/>
          <w:sz w:val="20"/>
        </w:rPr>
        <w:t>. Subject to Section 12, no adjustment shall be made in the Common Stock issuable or taken into account under Awards on account of cash dividends that may be paid or other rights that may be issued to the holders of Common Stock prior to issuance of such Common Stock under such Award. The Committee may grant Dividend Equivalents based on the dividends declared on shares of Common Stock that are subject to any Award (other than an Option or Stock Appreciation Right). Any Award of Dividend Equivalents may be credited as of the dividend payment dates, during the period between the Date of Grant of the Award and the date the Award becomes payable or terminates or expires, as determined by the Committee; however, unless otherwise determined by the Committee, Dividend Equivalents shall not be payable unless and until the Award becomes payable, and shall be subject to forfeiture to the same extent as the underlying Award. Dividend Equivalents may be subject to any additional limitations and/or restrictions determined by the Committee. Dividend Equivalents shall be payable in cash or Common Stock or converted to full-value Awards, calculated based on such formula as may be determined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u w:val="single"/>
        </w:rPr>
        <w:t>Changes in Capital Structure and Similar Events</w:t>
      </w:r>
      <w:r>
        <w:rPr>
          <w:rFonts w:ascii="Times New Roman;Times;Serif" w:hAnsi="Times New Roman;Times;Serif"/>
          <w:b w:val="false"/>
          <w:i w:val="false"/>
          <w:caps w:val="false"/>
          <w:smallCaps w:val="false"/>
          <w:sz w:val="20"/>
        </w:rPr>
        <w:t>. In the event of (a) any dividend (other than ordinary cash dividends) or other distribution (whether in the form of cash, Common Stock, other securities or other property), recapitalization, stock split, reverse stock split, reorganization, merger, amalgamation, consolidation, spin-off, split-up, split-off, combination, repurchase or exchange of Common Stock or other securities of the Company, issuance of warrants or other rights to acquire Common Stock or other securities of the Company, or other similar corporate transaction or event (including, without limitation, a Change in Control) that affects the Common Stock, or (b)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subject to the requirements of Sections 409A, 421, and 422 of the Code, if applicable, including without limitation any or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adjusting any or all of (i)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(ii) the terms of any outstanding Award, including, without limitation, (A) the number of shares of Common Stock or other securities of the Company (or number and kind of other securities or other property) subject to outstanding Awards or to which outstanding Awards relate, (B) the Exercise Price or Strike Price with respect to any Award or (C) any applicable performance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providing for a substitution or assumption of Awards in a manner that substantially preserves the applicable terms of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accelerating the exercisability or vesting of, lapse of restrictions on, or termination of, Awards or providing for a period of time for exercise prior to the occurrence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modifying the terms of Awards to add events, conditions or circumstances (including termination of employment within a specified period after a Change in Control) upon which the exercisability or vesting of or lapse of restrictions thereon will accelerate;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deeming any performance measures satisfied at target, maximum or actual performance through closing or such other level determined by the Committee in its sole discretion, or providing for the performance measures to continue (as is or as adjusted by the Committee) after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providing that for a period prior to the Change in Control determined by the Committee in its sole discretion, any Options or SARs that would not otherwise become exercisable prior to the Change in Control will be exercisable as to all Common Stock subject thereto (but any such exercise will be contingent upon and subject to the occurrence of the Change in Control and if the Change in Control does not take place after giving such notice for any reason whatsoever, the exercise will be null and void) and that any Options or SARs not exercised prior to the consummation of the Change in Control will terminate and be of no further force and effect as of the consummation of the Change in Control; and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canceling any one or more outstanding Awards and causing to be paid to the holders thereof, in cash,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any “equity restructuring” (within the meaning of the Financial Accounting Standards Board Accounting Standards Codification Topic 718), the Committee shall make an equitable or proportionate adjustment to outstanding Awards to reflect such equity restructuring. The Company shall give each Participant notice of an adjustment hereunder and, upon notice, such adjustment shall be final, conclusive and binding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u w:val="single"/>
        </w:rPr>
        <w:t>Amendments and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Amendment and Termination of the Plan</w:t>
      </w:r>
      <w:r>
        <w:rPr>
          <w:rFonts w:ascii="Times New Roman;Times;Serif" w:hAnsi="Times New Roman;Times;Serif"/>
          <w:b w:val="false"/>
          <w:i w:val="false"/>
          <w:caps w:val="false"/>
          <w:smallCaps w:val="false"/>
          <w:sz w:val="20"/>
        </w:rPr>
        <w:t xml:space="preserve">. The Board may amend, alter, suspend, discontinue, or terminate the Plan or any portion thereof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amendment to Section 13(b) (to the extent required by the proviso in such Section 13(b)) shall be made without stockholder approval and (ii)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Stock may be listed or quoted);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w:t>
      </w:r>
      <w:r>
        <w:rPr>
          <w:rFonts w:ascii="Times New Roman;Times;Serif" w:hAnsi="Times New Roman;Times;Serif"/>
          <w:b w:val="false"/>
          <w:i w:val="false"/>
          <w:caps w:val="false"/>
          <w:smallCaps w:val="false"/>
          <w:sz w:val="20"/>
        </w:rPr>
        <w:t>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Amendment of Award Agreements</w:t>
      </w:r>
      <w:r>
        <w:rPr>
          <w:rFonts w:ascii="Times New Roman;Times;Serif" w:hAnsi="Times New Roman;Times;Serif"/>
          <w:b w:val="false"/>
          <w:i w:val="false"/>
          <w:caps w:val="false"/>
          <w:smallCaps w:val="false"/>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in its sole discretion, that the amendment is necessary for the Award to comply with Section 409A of the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without stockholder approval, except as otherwise permitted under Section 12 of the Plan, (i) no amendment or modification may reduce the Exercise Price of any Option or the Strike Price of any SAR, (ii) the Committee may not cancel any outstanding Option or SAR where the Fair Market Value of the Common Stock underlying such Option or SAR is less than its Exercise Price and replace it with a new Option or SAR, another Award or cash and (iii) the Committee may not take any other action that is considered a “repricing” for purposes of the stockholder approval rules of the applicable securities exchange or inter-dealer quotation system on which the Common Stock is listed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Award Agreements</w:t>
      </w:r>
      <w:r>
        <w:rPr>
          <w:rFonts w:ascii="Times New Roman;Times;Serif" w:hAnsi="Times New Roman;Times;Serif"/>
          <w:b w:val="false"/>
          <w:i w:val="false"/>
          <w:caps w:val="false"/>
          <w:smallCaps w:val="false"/>
          <w:sz w:val="20"/>
        </w:rPr>
        <w:t>.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 Except as the Plan otherwise provides, each Award may be made alone or in addition or in relation to any other Award. The terms of each Award to a Participant need not be identical, and the Committee need not treat Participants or Awards (or portions thereof) uniformly.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Nontransferability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designation of a beneficiary shall not constitute an assignment, alienation, pledge, attachment, sale, transfer or encumbrance.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Times;Serif" w:hAnsi="Times New Roman;Times;Serif"/>
          <w:b w:val="false"/>
          <w:i w:val="false"/>
          <w:caps w:val="false"/>
          <w:smallCaps w:val="false"/>
          <w:sz w:val="20"/>
          <w:u w:val="single"/>
        </w:rPr>
        <w:t>Immediate Family Members</w:t>
      </w:r>
      <w:r>
        <w:rPr>
          <w:rFonts w:ascii="Times New Roman;Times;Serif" w:hAnsi="Times New Roman;Times;Serif"/>
          <w:b w:val="false"/>
          <w:i w:val="false"/>
          <w:caps w:val="false"/>
          <w:smallCaps w:val="false"/>
          <w:sz w:val="20"/>
        </w:rPr>
        <w:t>”); (B) a trust solely for the benefit of the Participant and his Immediate Family Members; (C) a partnership or limited liability company whose only partners or stockholders are the Participant and his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Tax Withholding and Deductions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Participant shall be required to pay to the Company or any Affiliate, and the Company or any Affiliate shall have the right and is hereby authorized to deduct and withhold, from any cash, Common Stock, other securities or other property deliverable under any Award or from any compensation or other amounts owing to a Participant, the amount (in cash, Common Stock, other securities or other property) of any required taxes (up to the maximum statutory rate under Applicable Law as in effect from time to time as determined by the Committee) and deduction in respect of an Award, its grant, vesting or exercise, or any payment or transfer under an Award or under the Plan and to take such other action as may be necessary in the opinion of the Committee or the Company to satisfy all obligations for the payment of such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clause (i) above, the Committee may, in its sole discretion, permit a Participant to satisfy, in whole or in part, the foregoing tax and deduction liability by (A) the delivery of shares of Common Stock (which are not subject to any pledge or other security interest and are Mature Shares, except as otherwise determined by the Committee) owned by the Participant having a Fair Market Value equal to such liability or (B) having the Company withhold from the number of shares of Common Stock otherwise issuable or deliverable pursuant to the exercise or settlement of the Award a number of shares with a Fair Market Value equal to such liability.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No Claim to Awards; No Rights to Continued Employment; Waiver</w:t>
      </w:r>
      <w:r>
        <w:rPr>
          <w:rFonts w:ascii="Times New Roman;Times;Serif" w:hAnsi="Times New Roman;Times;Serif"/>
          <w:b w:val="false"/>
          <w:i w:val="false"/>
          <w:caps w:val="false"/>
          <w:smallCaps w:val="false"/>
          <w:sz w:val="20"/>
        </w:rPr>
        <w:t>. No employee of the Company or an Affiliate, or other person, shall have any Claim or right to be granted an Award under the Plan or, having been selected for the grant of an Award, to be selected for a grant of any other Award. A Participant’s sole remedy for any Claim related to the Plan or any Award shall be against the Company, and no Participant shall have any Claim or right of any nature against any Subsidiary or Affiliate of the Company or any stockholder or existing or former director, officer or employee of the Company or any Subsidiary of the Company.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International Participants</w:t>
      </w:r>
      <w:r>
        <w:rPr>
          <w:rFonts w:ascii="Times New Roman;Times;Serif" w:hAnsi="Times New Roman;Times;Serif"/>
          <w:b w:val="false"/>
          <w:i w:val="false"/>
          <w:caps w:val="false"/>
          <w:smallCaps w:val="false"/>
          <w:sz w:val="20"/>
        </w:rPr>
        <w:t>. With respect to Participants who reside or work outside of the United States of America, the Committee may in its sole discretion amend the terms of the Plan or outstanding Awards with respect to such Participants in order to conform such terms with the requirements of local law or to obtain more favorable tax or other treatment for a Participant, the Company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u w:val="single"/>
        </w:rPr>
        <w:t>Designation and Change of Beneficiary</w:t>
      </w:r>
      <w:r>
        <w:rPr>
          <w:rFonts w:ascii="Times New Roman;Times;Serif" w:hAnsi="Times New Roman;Times;Serif"/>
          <w:b w:val="false"/>
          <w:i w:val="false"/>
          <w:caps w:val="false"/>
          <w:smallCaps w:val="false"/>
          <w:sz w:val="20"/>
        </w:rPr>
        <w:t xml:space="preserve">. To the extent permitted by the Committee, each Participant may file with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designation, or change or revocation thereof, shall be effective unless received by the Committee prior to the Participant’s death, and in no event shall it be effective as of a date prior to such receipt. If no beneficiary designation is filed by a Participant, or if the Committee does not permit beneficiary designations, then the beneficiary shall be deemed to be the Participant’s spouse or, if the Participant is unmarried at the time of death, his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u w:val="single"/>
        </w:rPr>
        <w:t>Termination of Employment/Service</w:t>
      </w:r>
      <w:r>
        <w:rPr>
          <w:rFonts w:ascii="Times New Roman;Times;Serif" w:hAnsi="Times New Roman;Times;Serif"/>
          <w:b w:val="false"/>
          <w:i w:val="false"/>
          <w:caps w:val="false"/>
          <w:smallCaps w:val="false"/>
          <w:sz w:val="20"/>
        </w:rPr>
        <w:t>. Unless determined otherwise by the Committee at any time following such event: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u w:val="single"/>
        </w:rPr>
        <w:t>No Rights as a Stockholder</w:t>
      </w:r>
      <w:r>
        <w:rPr>
          <w:rFonts w:ascii="Times New Roman;Times;Serif" w:hAnsi="Times New Roman;Times;Serif"/>
          <w:b w:val="false"/>
          <w:i w:val="false"/>
          <w:caps w:val="false"/>
          <w:smallCaps w:val="false"/>
          <w:sz w:val="20"/>
        </w:rPr>
        <w:t>. Except as otherwise specifically provided in the Plan or any Award Agreement, no person shall be entitled to the privileges of ownership in respect of Common Stock or other securities that are subject to Awards hereunder until such shares have been issued or delivered to that person.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Government and Other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Stock or other securities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Stock or other securities to be offered or sold under the Plan. The Committee shall have the authority to provide that all certificates for Common Stock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Committee may cancel an Award or any portion thereof if the Committee determines, in its sole discretion, that legal or contractual restrictions and/or blockage and/or other market considerations would make the Company’s acquisition of Common Stock from the public markets, the Company’s issuance of Common Stock or other securities to the Participant, the Participant’s acquisition of Common Stock or other securities from the Company and/or the Participant’s sale of Common Stock to the public markets, illegal, impracticable or inadvisable. If the Committee determines to cancel all or any portion of an Award denominated in Common Stock in accordance with the foregoing, the Company shall pay to the Participant an amount equal to the excess of (A) the aggregate Fair Market Value of the Common Stock subject to such Award or portion thereof that is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Stock (in the case of any other Award). Such amount shall be delivered to the Participant as soon as practicable following the cancellation of such Award or portion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u w:val="single"/>
        </w:rPr>
        <w:t>Payments to Persons Other Than Participants</w:t>
      </w:r>
      <w:r>
        <w:rPr>
          <w:rFonts w:ascii="Times New Roman;Times;Serif" w:hAnsi="Times New Roman;Times;Serif"/>
          <w:b w:val="false"/>
          <w:i w:val="false"/>
          <w:caps w:val="false"/>
          <w:smallCaps w:val="false"/>
          <w:sz w:val="20"/>
        </w:rPr>
        <w:t>. If the Committee shall find that any person to whom any amount is payable under the Plan is unable to care for his or her affairs because of illness or accident, or is a minor, or has died, then any payment due to such person or his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u w:val="single"/>
        </w:rPr>
        <w:t>Nonexclusivity of the Plan</w:t>
      </w:r>
      <w:r>
        <w:rPr>
          <w:rFonts w:ascii="Times New Roman;Times;Serif" w:hAnsi="Times New Roman;Times;Serif"/>
          <w:b w:val="false"/>
          <w:i w:val="false"/>
          <w:caps w:val="false"/>
          <w:smallCaps w:val="false"/>
          <w:sz w:val="20"/>
        </w:rPr>
        <w:t>.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u w:val="single"/>
        </w:rPr>
        <w:t>No Trust or Fund Created</w:t>
      </w:r>
      <w:r>
        <w:rPr>
          <w:rFonts w:ascii="Times New Roman;Times;Serif" w:hAnsi="Times New Roman;Times;Serif"/>
          <w:b w:val="false"/>
          <w:i w:val="false"/>
          <w:caps w:val="false"/>
          <w:smallCaps w:val="false"/>
          <w:sz w:val="20"/>
        </w:rPr>
        <w:t>. The Plan is intended to constitute an “unfunded” plan for incentive compensation.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u w:val="single"/>
        </w:rPr>
        <w:t>Reliance on Reports</w:t>
      </w:r>
      <w:r>
        <w:rPr>
          <w:rFonts w:ascii="Times New Roman;Times;Serif" w:hAnsi="Times New Roman;Times;Serif"/>
          <w:b w:val="false"/>
          <w:i w:val="false"/>
          <w:caps w:val="false"/>
          <w:smallCaps w:val="false"/>
          <w:sz w:val="20"/>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or service provider to the Company or the Committee or the Board, other than himself.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u w:val="single"/>
        </w:rPr>
        <w:t>Relationship to Other Benefits</w:t>
      </w:r>
      <w:r>
        <w:rPr>
          <w:rFonts w:ascii="Times New Roman;Times;Serif" w:hAnsi="Times New Roman;Times;Serif"/>
          <w:b w:val="false"/>
          <w:i w:val="false"/>
          <w:caps w:val="false"/>
          <w:smallCaps w:val="false"/>
          <w:sz w:val="20"/>
        </w:rPr>
        <w:t>. No payment under the Plan shall be taken into account in determining any benefits under any pension, retirement, profit sharing, group insurance or other benefit plan of the Company except as otherwise specifically provided in such other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u w:val="single"/>
        </w:rPr>
        <w:t>Governing Law</w:t>
      </w:r>
      <w:r>
        <w:rPr>
          <w:rFonts w:ascii="Times New Roman;Times;Serif" w:hAnsi="Times New Roman;Times;Serif"/>
          <w:b w:val="false"/>
          <w:i w:val="false"/>
          <w:caps w:val="false"/>
          <w:smallCaps w:val="false"/>
          <w:sz w:val="20"/>
        </w:rPr>
        <w:t>. The Plan shall be governed by and construed in accordance with the internal laws of the State of Delaware applicable to contracts made and performed wholly within the State of Delaware, without giving effect to the conflict of laws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u w:val="single"/>
        </w:rPr>
        <w:t>Severability</w:t>
      </w:r>
      <w:r>
        <w:rPr>
          <w:rFonts w:ascii="Times New Roman;Times;Serif" w:hAnsi="Times New Roman;Times;Serif"/>
          <w:b w:val="false"/>
          <w:i w:val="false"/>
          <w:caps w:val="false"/>
          <w:smallCaps w:val="false"/>
          <w:sz w:val="20"/>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u w:val="single"/>
        </w:rPr>
        <w:t>Obligations Binding on Successors</w:t>
      </w:r>
      <w:r>
        <w:rPr>
          <w:rFonts w:ascii="Times New Roman;Times;Serif" w:hAnsi="Times New Roman;Times;Serif"/>
          <w:b w:val="false"/>
          <w:i w:val="false"/>
          <w:caps w:val="false"/>
          <w:smallCaps w:val="false"/>
          <w:sz w:val="20"/>
        </w:rPr>
        <w:t>. 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u w:val="single"/>
        </w:rPr>
        <w:t>Section 409A of the 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Participant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Participant’s “separation from service” within the meaning of Section 409A of the Code. If any Award is or becomes subject to Section 409A of the Code and if payment of such Award would be accelerated or otherwise triggered under a Change in Control, then the definition of Change in Control shall be deemed modified, only to the extent necessary to avoid the imposition of any additional tax under Section 409A of the Code, to mean a “change in control event” as such term is defined for purposes of Section 409A of the Code.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adjustments made pursuant to Section 12 to Awards that are subject to Section 409A of the Code shall be made in compliance with the requirements of Section 409A of the Code, and any adjustments made pursuant to Section 12 to Awards that are not subject to Section 409A of the Code shall be made in such a manner as to ensure that after such adjustment, the Awards either (x) continue not to be subject to Section 409A of the Code or (y) comply with the requirements of Section 409A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u w:val="single"/>
        </w:rPr>
        <w:t>Notification of Election Under Section 83(b) of the Code</w:t>
      </w:r>
      <w:r>
        <w:rPr>
          <w:rFonts w:ascii="Times New Roman;Times;Serif" w:hAnsi="Times New Roman;Times;Serif"/>
          <w:b w:val="false"/>
          <w:i w:val="false"/>
          <w:caps w:val="false"/>
          <w:smallCaps w:val="false"/>
          <w:sz w:val="20"/>
        </w:rPr>
        <w:t>. If any Participant, in connection with the acquisition of Common Stock under an Award, makes the election permitted under Section 83(b) of the Code, if applicable, the Participant shall notify the Company of the election within ten days of filing notice of the election with the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u w:val="single"/>
        </w:rPr>
        <w:t>Expenses; Gender; Titles and Headings; Interpretation</w:t>
      </w:r>
      <w:r>
        <w:rPr>
          <w:rFonts w:ascii="Times New Roman;Times;Serif" w:hAnsi="Times New Roman;Times;Serif"/>
          <w:b w:val="false"/>
          <w:i w:val="false"/>
          <w:caps w:val="false"/>
          <w:smallCaps w:val="false"/>
          <w:sz w:val="20"/>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 Unless the context of the Plan otherwise requires, words using the singular or plural number also include the plural or singular number, respectively; derivative forms of defined terms will have correlative meanings; the terms “hereof,” “herein” and “hereunder” and derivative or similar words refer to this entire Plan; the term “Section” refers to the specified Section of this Plan and references to “paragraphs” or “clauses” shall be to separate paragraphs or clauses of the Section or subsection in which the reference occurs; the words “include,” “includes” and “including” shall be deemed to be followed by the phrase “without limitation”; and the word “or” shall be disjunctive but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u w:val="single"/>
        </w:rPr>
        <w:t>Other Agreements</w:t>
      </w:r>
      <w:r>
        <w:rPr>
          <w:rFonts w:ascii="Times New Roman;Times;Serif" w:hAnsi="Times New Roman;Times;Serif"/>
          <w:b w:val="false"/>
          <w:i w:val="false"/>
          <w:caps w:val="false"/>
          <w:smallCaps w:val="false"/>
          <w:sz w:val="20"/>
        </w:rPr>
        <w:t>. Notwithstanding the above, the Committee may require, as a condition to the grant of and/or the receipt of Common Stock or other securities under an Award, that the Participant execute lock-up, stockholder or other agreements, as it may determine in its sole and absolute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u w:val="single"/>
        </w:rPr>
        <w:t>Payments</w:t>
      </w:r>
      <w:r>
        <w:rPr>
          <w:rFonts w:ascii="Times New Roman;Times;Serif" w:hAnsi="Times New Roman;Times;Serif"/>
          <w:b w:val="false"/>
          <w:i w:val="false"/>
          <w:caps w:val="false"/>
          <w:smallCaps w:val="false"/>
          <w:sz w:val="20"/>
        </w:rPr>
        <w:t>. Participants shall be required to pay, to the extent required by Applicable Law, any amounts required to receive Common Stock or other securities under any Award made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caps w:val="false"/>
          <w:smallCaps w:val="false"/>
          <w:sz w:val="20"/>
          <w:u w:val="single"/>
        </w:rPr>
        <w:t>Clawback; Erroneously Awarded Compensation</w:t>
      </w:r>
      <w:r>
        <w:rPr>
          <w:rFonts w:ascii="Times New Roman;Times;Serif" w:hAnsi="Times New Roman;Times;Serif"/>
          <w:b w:val="false"/>
          <w:i w:val="false"/>
          <w:caps w:val="false"/>
          <w:smallCaps w:val="false"/>
          <w:sz w:val="20"/>
        </w:rPr>
        <w:t>.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Common Stock or other securities are listed or quoted, and these requirements shall be deemed incorporated by reference into all outstanding Award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issued or delivered pursuant to the Plan. The Committee shall determine whether cash, other Awards, or other property shall be issued or paid in lieu of fractional shares or whether fractional shares or any rights thereto shall be forfeited, rounded, or otherwise eliminated.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caps w:val="false"/>
          <w:smallCaps w:val="false"/>
          <w:sz w:val="20"/>
          <w:u w:val="single"/>
        </w:rPr>
        <w:t>Paperless Administration</w:t>
      </w:r>
      <w:r>
        <w:rPr>
          <w:rFonts w:ascii="Times New Roman;Times;Serif" w:hAnsi="Times New Roman;Times;Serif"/>
          <w:b w:val="false"/>
          <w:i w:val="false"/>
          <w:caps w:val="false"/>
          <w:smallCaps w:val="false"/>
          <w:sz w:val="20"/>
        </w:rPr>
        <w:t>.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u w:val="single"/>
        </w:rPr>
        <w:t>Data Privacy.</w:t>
      </w:r>
      <w:r>
        <w:rPr>
          <w:rFonts w:ascii="Times New Roman;Times;Serif" w:hAnsi="Times New Roman;Times;Serif"/>
          <w:b w:val="false"/>
          <w:i w:val="false"/>
          <w:caps w:val="false"/>
          <w:smallCaps w:val="false"/>
          <w:sz w:val="20"/>
        </w:rPr>
        <w:t xml:space="preserve"> As a condition for receiving any Award, each Participant explicitly and unambiguously consents to the collection, use and transfer, in electronic or other form, of personal data as described in this </w:t>
      </w:r>
      <w:r>
        <w:rPr>
          <w:rFonts w:ascii="Times New Roman;Times;Serif" w:hAnsi="Times New Roman;Times;Serif"/>
          <w:b w:val="false"/>
          <w:i w:val="false"/>
          <w:caps w:val="false"/>
          <w:smallCaps w:val="false"/>
          <w:sz w:val="20"/>
          <w:u w:val="single"/>
        </w:rPr>
        <w:t>Section 14(z)</w:t>
      </w:r>
      <w:r>
        <w:rPr>
          <w:rFonts w:ascii="Times New Roman;Times;Serif" w:hAnsi="Times New Roman;Times;Serif"/>
          <w:b w:val="false"/>
          <w:i w:val="false"/>
          <w:caps w:val="false"/>
          <w:smallCaps w:val="false"/>
          <w:sz w:val="20"/>
        </w:rPr>
        <w:t xml:space="preserve">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Common Stock held in the Company or its Subsidiaries and Affiliates; and Award details, to implement, manage and administer the Plan and Awards (the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the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Common Stock. The Data related to a Participant will be held only as long as necessary to implement, administer, and manage the Participant’s participation in the Plan. A Participant may, at any time, view the Data that the Company holds regarding the Participant, request additional information about the storage and processing of the Data regarding the Participant, recommend any necessary corrections to the Data regarding the Participant or refuse or withdraw the consents in this </w:t>
      </w:r>
      <w:r>
        <w:rPr>
          <w:rFonts w:ascii="Times New Roman;Times;Serif" w:hAnsi="Times New Roman;Times;Serif"/>
          <w:b w:val="false"/>
          <w:i w:val="false"/>
          <w:caps w:val="false"/>
          <w:smallCaps w:val="false"/>
          <w:sz w:val="20"/>
          <w:u w:val="single"/>
        </w:rPr>
        <w:t>Section 14(z)</w:t>
      </w:r>
      <w:r>
        <w:rPr>
          <w:rFonts w:ascii="Times New Roman;Times;Serif" w:hAnsi="Times New Roman;Times;Serif"/>
          <w:b w:val="false"/>
          <w:i w:val="false"/>
          <w:caps w:val="false"/>
          <w:smallCaps w:val="false"/>
          <w:sz w:val="20"/>
        </w:rPr>
        <w:t xml:space="preserve"> in writing, without cost, by contacting the local human resources representative. The Company may cancel Participant’s ability to participate in the Plan and, in the Committee’s discretion, the Participant may forfeit any outstanding Awards if the Participant refuses or withdraws the consents in this </w:t>
      </w:r>
      <w:r>
        <w:rPr>
          <w:rFonts w:ascii="Times New Roman;Times;Serif" w:hAnsi="Times New Roman;Times;Serif"/>
          <w:b w:val="false"/>
          <w:i w:val="false"/>
          <w:caps w:val="false"/>
          <w:smallCaps w:val="false"/>
          <w:sz w:val="20"/>
          <w:u w:val="single"/>
        </w:rPr>
        <w:t>Section 14(z)</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caps w:val="false"/>
          <w:smallCaps w:val="false"/>
          <w:sz w:val="20"/>
          <w:u w:val="single"/>
        </w:rPr>
        <w:t>Broker-Assisted Sales</w:t>
      </w:r>
      <w:r>
        <w:rPr>
          <w:rFonts w:ascii="Times New Roman;Times;Serif" w:hAnsi="Times New Roman;Times;Serif"/>
          <w:b w:val="false"/>
          <w:i w:val="false"/>
          <w:caps w:val="false"/>
          <w:smallCaps w:val="false"/>
          <w:sz w:val="20"/>
        </w:rPr>
        <w:t>. In the event of a broker-assisted sale of Common Stock in connection with the payment of amounts owed by a Participant under or with respect to the Plan or Awards: (a) any Common Stock to be sold through the broker-assisted sale will be sold on the day the payment first becomes due, or as soon thereafter as practicable; (b) the Common Stock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the sale that exceed the amount owed, the Company will pay the excess in cash to the applicable Participant as soon as reasonably practicable; (e) the Company and its designees are under no obligation to arrange for the sale at any particular price; and (f) if the proceeds of the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center"/>
        <w:rPr>
          <w:caps w:val="false"/>
          <w:smallCaps w:val="false"/>
        </w:rPr>
      </w:pPr>
      <w:bookmarkStart w:id="5" w:name="ex5-1.htm"/>
      <w:bookmarkStart w:id="6" w:name="ksex5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Ranch Rd.,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76109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Sports Entertainment Gaming Global Corporation, a Delaware corporation (the “Company”), in connection with the preparation and filing with the Securities and Exchange Commission (the “Commission”) of the Company’s Registration Statement on Form S-8 (the “Registration Statement”) under the Securities Act of 1933 (the “Act”), registering an additional 3,634,348 shares of the Company’s common stock, par value $0.001 per share (the “Shares”), issuable pursuant to the Company’s 2021 Incentive Award Plan, as amended as of February 9, 2026 (the “2021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(i) the Second Amended and Restated Certificate of Incorporation and the Amended and Restated Bylaws of the Company, as filed in the Registration Statement; (ii) the Registration Statement; (iii) the 2021 Plan, and (iv) such statutory provisions, certificates and other documents as we have deemed appropriate or necessary as a basis for the opinions hereinafter expressed. We have also examined such other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it is our opinion that, as of the date hereof, the Shares to be issued under the 2021 Plan have been duly authorized by all necessary corporate action of the Company, and, upon the issuance and delivery of, and payment for, the Shares in the manner contemplated by the 2021 Plan and assuming the Company completes all actions and proceedings required on its part to be taken prior to the issuance and delivery of the Shares pursuant to the terms of the 2021 Plan, including, without limitation, collection of required payment for the Shares, if applicable, the Shares will be validly issued, fully paid and non-assessable.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Federal law of the United States and the General Corporation Law of the State of Delaware (including the statutory provisions and all applicable provisions of the Delaware Constitution and the reported judicial cases interpreting those laws currently in effect), and we express no opinion as to the laws of any other jurisdiction. This opinion is rendered pursuant to Item 601(b)(5)(i) of Regulation S-K under the Act. The opinions expressed in this opinion letter are as of the date of this opinion letter only and as to laws covered hereby only as they are in effect on that date, and we assume no obligation to update or supplement such opinions to reflect any facts or circumstances that may come to our attention after that date or any changes in law that may occur or become effective after that date. The opinions herein are limited to the matters expressly set forth in this opinion letter, and no opinion or representation is given or may be inferred beyond the opinions expressly set forth in this opinion letter.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made to this firm in the Registration Statement under the heading “Interests of Named Experts and Counsel” in the Registration Statement. In giving this consent, we do not thereby admit that we are within the category of persons whose consent is required under Section 7 of the Securities Act or the rules and regulations of the Securities and Exchange Commission promulgated thereunder.</w:t>
      </w:r>
    </w:p>
    <w:p>
      <w:pPr>
        <w:pStyle w:val="TextBody"/>
        <w:bidi w:val="0"/>
        <w:spacing w:before="0" w:after="0"/>
        <w:ind w:left="0" w:right="0" w:firstLine="72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ArentFox Schiff LLP</w:t>
            </w:r>
          </w:p>
        </w:tc>
      </w:tr>
    </w:tbl>
    <w:p>
      <w:pPr>
        <w:pStyle w:val="TextBody"/>
        <w:bidi w:val="0"/>
        <w:spacing w:before="0" w:after="0"/>
        <w:ind w:left="0" w:right="0" w:firstLine="288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 w:name="ex23-1.htm"/>
      <w:bookmarkStart w:id="8" w:name="ksex231"/>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7"/>
                    <a:stretch>
                      <a:fillRect/>
                    </a:stretch>
                  </pic:blipFill>
                  <pic:spPr bwMode="auto">
                    <a:xfrm>
                      <a:off x="0" y="0"/>
                      <a:ext cx="5943600" cy="1028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(formerly Lottery.com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Ranch,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76109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incorporation by reference in the Form S-8 Registration statement under the securities Act of 1933 of </w:t>
      </w:r>
      <w:r>
        <w:rPr>
          <w:rFonts w:ascii="Times New Roman;Times;Serif" w:hAnsi="Times New Roman;Times;Serif"/>
          <w:b/>
          <w:i w:val="false"/>
          <w:caps w:val="false"/>
          <w:smallCaps w:val="false"/>
          <w:sz w:val="20"/>
        </w:rPr>
        <w:t>Sports Entertainment Gaming Global Corporation.</w:t>
      </w:r>
      <w:r>
        <w:rPr>
          <w:rFonts w:ascii="Times New Roman;Times;Serif" w:hAnsi="Times New Roman;Times;Serif"/>
          <w:b w:val="false"/>
          <w:i w:val="false"/>
          <w:caps w:val="false"/>
          <w:smallCaps w:val="false"/>
          <w:sz w:val="20"/>
        </w:rPr>
        <w:t xml:space="preserve"> of our report dated April 22, 2025, relating to the consolidated financial statements of </w:t>
      </w:r>
      <w:r>
        <w:rPr>
          <w:rFonts w:ascii="Times New Roman;Times;Serif" w:hAnsi="Times New Roman;Times;Serif"/>
          <w:b/>
          <w:i w:val="false"/>
          <w:caps w:val="false"/>
          <w:smallCaps w:val="false"/>
          <w:sz w:val="20"/>
        </w:rPr>
        <w:t>Sports Entertainment Gaming Global Corporation (formerly</w:t>
      </w:r>
      <w:r>
        <w:rPr>
          <w:rFonts w:ascii="Times New Roman;Times;Serif" w:hAnsi="Times New Roman;Times;Serif"/>
          <w:b w:val="false"/>
          <w:i w:val="false"/>
          <w:caps w:val="false"/>
          <w:smallCaps w:val="false"/>
          <w:sz w:val="20"/>
        </w:rPr>
        <w:t xml:space="preserve"> Lottery.com Inc.) as of and for the years ended </w:t>
      </w:r>
      <w:r>
        <w:rPr>
          <w:rFonts w:ascii="Times New Roman;Times;Serif" w:hAnsi="Times New Roman;Times;Serif"/>
          <w:b/>
          <w:i w:val="false"/>
          <w:caps w:val="false"/>
          <w:smallCaps w:val="false"/>
          <w:sz w:val="20"/>
        </w:rPr>
        <w:t>December 31, 2024 and 2023</w:t>
      </w:r>
      <w:r>
        <w:rPr>
          <w:rFonts w:ascii="Times New Roman;Times;Serif" w:hAnsi="Times New Roman;Times;Serif"/>
          <w:b w:val="false"/>
          <w:i w:val="false"/>
          <w:caps w:val="false"/>
          <w:smallCaps w:val="false"/>
          <w:sz w:val="20"/>
        </w:rPr>
        <w:t>, which report appears in the Company’s Annual Report on Form 10-K/A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2450"/>
        <w:gridCol w:w="75"/>
      </w:tblGrid>
      <w:tr>
        <w:trPr/>
        <w:tc>
          <w:tcPr>
            <w:tcW w:w="24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Boladale Lawal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BOLADALE LAWAL &amp; CO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Accountant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No:6993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Lagos, Nigeria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ex107.htm"/>
      <w:bookmarkStart w:id="10" w:name="ksex107"/>
      <w:bookmarkStart w:id="11" w:name="ex107.htm"/>
      <w:bookmarkStart w:id="12" w:name="ksex107"/>
      <w:bookmarkEnd w:id="11"/>
      <w:bookmarkEnd w:id="12"/>
      <w:r>
        <w:br w:type="page"/>
      </w:r>
    </w:p>
    <w:tbl>
      <w:tblPr>
        <w:tblW w:w="4745" w:type="dxa"/>
        <w:jc w:val="left"/>
        <w:tblInd w:w="0" w:type="dxa"/>
        <w:tblLayout w:type="fixed"/>
        <w:tblCellMar>
          <w:top w:w="28" w:type="dxa"/>
          <w:left w:w="28" w:type="dxa"/>
          <w:bottom w:w="28" w:type="dxa"/>
          <w:right w:w="28" w:type="dxa"/>
        </w:tblCellMar>
      </w:tblPr>
      <w:tblGrid>
        <w:gridCol w:w="4591"/>
        <w:gridCol w:w="154"/>
      </w:tblGrid>
      <w:tr>
        <w:trPr/>
        <w:tc>
          <w:tcPr>
            <w:tcW w:w="47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283"/>
              <w:jc w:val="left"/>
              <w:rPr>
                <w:b/>
              </w:rPr>
            </w:pPr>
            <w:r>
              <w:rPr>
                <w:b/>
              </w:rPr>
              <w:t xml:space="preserve">Sports Entertainment Gaming Global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3"/>
        <w:gridCol w:w="1055"/>
        <w:gridCol w:w="1303"/>
        <w:gridCol w:w="1212"/>
        <w:gridCol w:w="1251"/>
        <w:gridCol w:w="1608"/>
        <w:gridCol w:w="1127"/>
        <w:gridCol w:w="1444"/>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5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3" w:type="dxa"/>
            <w:tcBorders/>
            <w:shd w:fill="E7E7E2" w:val="clear"/>
            <w:vAlign w:val="center"/>
          </w:tcPr>
          <w:p>
            <w:pPr>
              <w:pStyle w:val="TableContents"/>
              <w:bidi w:val="0"/>
              <w:spacing w:before="0" w:after="283"/>
              <w:jc w:val="left"/>
              <w:rPr/>
            </w:pPr>
            <w:r>
              <w:rPr/>
              <w:t xml:space="preserve">Equity </w:t>
            </w:r>
          </w:p>
        </w:tc>
        <w:tc>
          <w:tcPr>
            <w:tcW w:w="1055" w:type="dxa"/>
            <w:tcBorders/>
            <w:shd w:fill="E7E7E2" w:val="clear"/>
            <w:vAlign w:val="center"/>
          </w:tcPr>
          <w:p>
            <w:pPr>
              <w:pStyle w:val="TableContents"/>
              <w:bidi w:val="0"/>
              <w:spacing w:before="0" w:after="283"/>
              <w:jc w:val="left"/>
              <w:rPr/>
            </w:pPr>
            <w:r>
              <w:rPr/>
              <w:t xml:space="preserve">Common Stock, $0.001 par value </w:t>
            </w:r>
          </w:p>
        </w:tc>
        <w:tc>
          <w:tcPr>
            <w:tcW w:w="1303" w:type="dxa"/>
            <w:tcBorders/>
            <w:shd w:fill="E7E7E2" w:val="clear"/>
            <w:vAlign w:val="center"/>
          </w:tcPr>
          <w:p>
            <w:pPr>
              <w:pStyle w:val="TableContents"/>
              <w:bidi w:val="0"/>
              <w:spacing w:before="0" w:after="283"/>
              <w:jc w:val="center"/>
              <w:rPr/>
            </w:pPr>
            <w:r>
              <w:rPr/>
              <w:t xml:space="preserve">Other </w:t>
            </w:r>
          </w:p>
        </w:tc>
        <w:tc>
          <w:tcPr>
            <w:tcW w:w="1212" w:type="dxa"/>
            <w:tcBorders/>
            <w:shd w:fill="E7E7E2" w:val="clear"/>
            <w:vAlign w:val="center"/>
          </w:tcPr>
          <w:p>
            <w:pPr>
              <w:pStyle w:val="TableContents"/>
              <w:bidi w:val="0"/>
              <w:spacing w:before="0" w:after="283"/>
              <w:jc w:val="right"/>
              <w:rPr/>
            </w:pPr>
            <w:r>
              <w:rPr/>
              <w:t xml:space="preserve">3,634,348 </w:t>
            </w:r>
          </w:p>
        </w:tc>
        <w:tc>
          <w:tcPr>
            <w:tcW w:w="1251" w:type="dxa"/>
            <w:tcBorders/>
            <w:shd w:fill="E7E7E2" w:val="clear"/>
            <w:vAlign w:val="center"/>
          </w:tcPr>
          <w:p>
            <w:pPr>
              <w:pStyle w:val="TableContents"/>
              <w:bidi w:val="0"/>
              <w:spacing w:before="0" w:after="283"/>
              <w:jc w:val="right"/>
              <w:rPr/>
            </w:pPr>
            <w:r>
              <w:rPr/>
              <w:t xml:space="preserve">$ 0.80 </w:t>
            </w:r>
          </w:p>
        </w:tc>
        <w:tc>
          <w:tcPr>
            <w:tcW w:w="1608" w:type="dxa"/>
            <w:tcBorders/>
            <w:shd w:fill="E7E7E2" w:val="clear"/>
            <w:vAlign w:val="center"/>
          </w:tcPr>
          <w:p>
            <w:pPr>
              <w:pStyle w:val="TableContents"/>
              <w:bidi w:val="0"/>
              <w:spacing w:before="0" w:after="283"/>
              <w:jc w:val="right"/>
              <w:rPr/>
            </w:pPr>
            <w:r>
              <w:rPr/>
              <w:t xml:space="preserve">$ 2,907,478.40 </w:t>
            </w:r>
          </w:p>
        </w:tc>
        <w:tc>
          <w:tcPr>
            <w:tcW w:w="1127" w:type="dxa"/>
            <w:tcBorders/>
            <w:shd w:fill="E7E7E2" w:val="clear"/>
            <w:vAlign w:val="center"/>
          </w:tcPr>
          <w:p>
            <w:pPr>
              <w:pStyle w:val="TableContents"/>
              <w:bidi w:val="0"/>
              <w:spacing w:before="0" w:after="283"/>
              <w:jc w:val="right"/>
              <w:rPr/>
            </w:pPr>
            <w:r>
              <w:rPr/>
              <w:t xml:space="preserve">0.0001381 </w:t>
            </w:r>
          </w:p>
        </w:tc>
        <w:tc>
          <w:tcPr>
            <w:tcW w:w="1444" w:type="dxa"/>
            <w:tcBorders/>
            <w:shd w:fill="E7E7E2" w:val="clear"/>
            <w:vAlign w:val="center"/>
          </w:tcPr>
          <w:p>
            <w:pPr>
              <w:pStyle w:val="TableContents"/>
              <w:bidi w:val="0"/>
              <w:spacing w:before="0" w:after="283"/>
              <w:jc w:val="right"/>
              <w:rPr/>
            </w:pPr>
            <w:r>
              <w:rPr/>
              <w:t xml:space="preserve">$ 401.52 </w:t>
            </w:r>
          </w:p>
        </w:tc>
      </w:tr>
      <w:tr>
        <w:trPr/>
        <w:tc>
          <w:tcPr>
            <w:tcW w:w="4775" w:type="dxa"/>
            <w:gridSpan w:val="5"/>
            <w:tcBorders/>
            <w:vAlign w:val="center"/>
          </w:tcPr>
          <w:p>
            <w:pPr>
              <w:pStyle w:val="TableContents"/>
              <w:bidi w:val="0"/>
              <w:spacing w:before="0" w:after="0"/>
              <w:ind w:left="0" w:right="0" w:hanging="0"/>
              <w:jc w:val="right"/>
              <w:rPr/>
            </w:pPr>
            <w:r>
              <w:rPr/>
              <w:t>Total Offering Amounts:</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0"/>
              <w:ind w:left="0" w:right="0" w:hanging="0"/>
              <w:jc w:val="right"/>
              <w:rPr/>
            </w:pPr>
            <w:bookmarkStart w:id="13" w:name="MaxAggtOfferingPrice"/>
            <w:bookmarkEnd w:id="13"/>
            <w:r>
              <w:rPr/>
              <w:t xml:space="preserve">$ 2,907,478.40 </w:t>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$ 401.52 </w:t>
            </w:r>
          </w:p>
        </w:tc>
      </w:tr>
      <w:tr>
        <w:trPr/>
        <w:tc>
          <w:tcPr>
            <w:tcW w:w="4775" w:type="dxa"/>
            <w:gridSpan w:val="5"/>
            <w:tcBorders/>
            <w:vAlign w:val="center"/>
          </w:tcPr>
          <w:p>
            <w:pPr>
              <w:pStyle w:val="TableContents"/>
              <w:bidi w:val="0"/>
              <w:spacing w:before="0" w:after="0"/>
              <w:ind w:left="0" w:right="0" w:hanging="0"/>
              <w:jc w:val="right"/>
              <w:rPr/>
            </w:pPr>
            <w:r>
              <w:rPr/>
              <w:t xml:space="preserve">Total Fee Offsets: </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75" w:type="dxa"/>
            <w:gridSpan w:val="5"/>
            <w:tcBorders/>
            <w:vAlign w:val="center"/>
          </w:tcPr>
          <w:p>
            <w:pPr>
              <w:pStyle w:val="TableContents"/>
              <w:bidi w:val="0"/>
              <w:spacing w:before="0" w:after="0"/>
              <w:ind w:left="0" w:right="0" w:hanging="0"/>
              <w:jc w:val="right"/>
              <w:rPr/>
            </w:pPr>
            <w:r>
              <w:rPr/>
              <w:t xml:space="preserve">Net Fee Due: </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6" w:name="NetFeeAmt"/>
            <w:bookmarkEnd w:id="16"/>
            <w:r>
              <w:rPr/>
              <w:t xml:space="preserve">$ 401.52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of 1933, as amended, this registration statement also covers any additional shares of common stock of Sports Entertainment Gaming Global Corporation. (the "Registrant") that may be granted under the Registrant's 2021 Incentive Award Plan, as amended (the "2021 Plan") to prevent dilution resulting from stock splits, stock dividends or similar transactions. Represents 3,634,348 shares of Registrant's common stock that were added to the shares reserved for issuance under the 2021 Plan. Estimated solely for the purpose of calculating the registration fee pursuant to Rule 457(c) and Rule 457(h)) of the Securities Act of 1933, as amended, and based on $0.80 per share, the average of the high and low prices of the Registrant's common stock as reported on the Nasdaq Global Market on March 23,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3481/000164117225005487/form10-k.htm" TargetMode="External"/><Relationship Id="rId3" Type="http://schemas.openxmlformats.org/officeDocument/2006/relationships/hyperlink" Target="https://www.sec.gov/Archives/edgar/data/1673481/000164117225005663/form10-ka.htm" TargetMode="External"/><Relationship Id="rId4" Type="http://schemas.openxmlformats.org/officeDocument/2006/relationships/hyperlink" Target="https://www.sec.gov/Archives/edgar/data/1673481/000164117225011865/form10-q.htm" TargetMode="External"/><Relationship Id="rId5" Type="http://schemas.openxmlformats.org/officeDocument/2006/relationships/hyperlink" Target="https://www.sec.gov/Archives/edgar/data/1673481/000149315225018121/form10-qa.htm" TargetMode="External"/><Relationship Id="rId6" Type="http://schemas.openxmlformats.org/officeDocument/2006/relationships/hyperlink" Target="https://www.sec.gov/Archives/edgar/data/1673481/000164117225024882/form10-q.htm" TargetMode="External"/><Relationship Id="rId7" Type="http://schemas.openxmlformats.org/officeDocument/2006/relationships/hyperlink" Target="https://www.sec.gov/Archives/edgar/data/1673481/000149315225024384/form10-q.htm" TargetMode="External"/><Relationship Id="rId8" Type="http://schemas.openxmlformats.org/officeDocument/2006/relationships/hyperlink" Target="https://www.sec.gov/Archives/edgar/data/1673481/000149315226004262/formdef14a.htm" TargetMode="External"/><Relationship Id="rId9" Type="http://schemas.openxmlformats.org/officeDocument/2006/relationships/hyperlink" Target="https://www.sec.gov/Archives/edgar/data/1673481/000164117225008303/form8-k.htm" TargetMode="External"/><Relationship Id="rId10" Type="http://schemas.openxmlformats.org/officeDocument/2006/relationships/hyperlink" Target="https://www.sec.gov/Archives/edgar/data/1673481/000164117225009229/form8-k.htm" TargetMode="External"/><Relationship Id="rId11" Type="http://schemas.openxmlformats.org/officeDocument/2006/relationships/hyperlink" Target="https://www.sec.gov/Archives/edgar/data/1673481/000164117225009508/form8-k.htm" TargetMode="External"/><Relationship Id="rId12" Type="http://schemas.openxmlformats.org/officeDocument/2006/relationships/hyperlink" Target="https://www.sec.gov/Archives/edgar/data/1673481/000164117225009868/form8-k.htm" TargetMode="External"/><Relationship Id="rId13" Type="http://schemas.openxmlformats.org/officeDocument/2006/relationships/hyperlink" Target="https://www.sec.gov/Archives/edgar/data/1673481/000164117225012222/form8-k.htm" TargetMode="External"/><Relationship Id="rId14" Type="http://schemas.openxmlformats.org/officeDocument/2006/relationships/hyperlink" Target="https://www.sec.gov/Archives/edgar/data/1673481/000164117225013964/form8-k.htm" TargetMode="External"/><Relationship Id="rId15" Type="http://schemas.openxmlformats.org/officeDocument/2006/relationships/hyperlink" Target="https://www.sec.gov/Archives/edgar/data/1673481/000164117225014480/form8-k.htm" TargetMode="External"/><Relationship Id="rId16" Type="http://schemas.openxmlformats.org/officeDocument/2006/relationships/hyperlink" Target="https://www.sec.gov/Archives/edgar/data/1673481/000164117225015998/form8-k.htm" TargetMode="External"/><Relationship Id="rId17" Type="http://schemas.openxmlformats.org/officeDocument/2006/relationships/hyperlink" Target="https://www.sec.gov/Archives/edgar/data/1673481/000164117225016016/form8-k.htm" TargetMode="External"/><Relationship Id="rId18" Type="http://schemas.openxmlformats.org/officeDocument/2006/relationships/hyperlink" Target="https://www.sec.gov/Archives/edgar/data/1673481/000164117225016026/form8-ka.htm" TargetMode="External"/><Relationship Id="rId19" Type="http://schemas.openxmlformats.org/officeDocument/2006/relationships/hyperlink" Target="https://www.sec.gov/Archives/edgar/data/1673481/000164117225017851/form8-k.htm" TargetMode="External"/><Relationship Id="rId20" Type="http://schemas.openxmlformats.org/officeDocument/2006/relationships/hyperlink" Target="https://www.sec.gov/Archives/edgar/data/1673481/000164117225017966/form8-k.htm" TargetMode="External"/><Relationship Id="rId21" Type="http://schemas.openxmlformats.org/officeDocument/2006/relationships/hyperlink" Target="https://www.sec.gov/Archives/edgar/data/1673481/000164117225019875/form8-k.htm" TargetMode="External"/><Relationship Id="rId22" Type="http://schemas.openxmlformats.org/officeDocument/2006/relationships/hyperlink" Target="https://www.sec.gov/Archives/edgar/data/1673481/000164117225020537/form8-k.htm" TargetMode="External"/><Relationship Id="rId23" Type="http://schemas.openxmlformats.org/officeDocument/2006/relationships/hyperlink" Target="https://www.sec.gov/Archives/edgar/data/1673481/000164117225022535/form8-k.htm" TargetMode="External"/><Relationship Id="rId24" Type="http://schemas.openxmlformats.org/officeDocument/2006/relationships/hyperlink" Target="https://www.sec.gov/Archives/edgar/data/1673481/000164117225026726/form8-k.htm" TargetMode="External"/><Relationship Id="rId25" Type="http://schemas.openxmlformats.org/officeDocument/2006/relationships/hyperlink" Target="https://www.sec.gov/Archives/edgar/data/1673481/000149315225016390/form8-ka.htm" TargetMode="External"/><Relationship Id="rId26" Type="http://schemas.openxmlformats.org/officeDocument/2006/relationships/hyperlink" Target="https://www.sec.gov/Archives/edgar/data/1673481/000149315225018294/form8-k.htm" TargetMode="External"/><Relationship Id="rId27" Type="http://schemas.openxmlformats.org/officeDocument/2006/relationships/hyperlink" Target="https://www.sec.gov/Archives/edgar/data/1673481/000149315225025505/form8-k.htm" TargetMode="External"/><Relationship Id="rId28" Type="http://schemas.openxmlformats.org/officeDocument/2006/relationships/hyperlink" Target="https://www.sec.gov/Archives/edgar/data/1673481/000149315225026120/form8-k.htm" TargetMode="External"/><Relationship Id="rId29" Type="http://schemas.openxmlformats.org/officeDocument/2006/relationships/hyperlink" Target="https://www.sec.gov/Archives/edgar/data/1673481/000149315226000531/form8-k.htm" TargetMode="External"/><Relationship Id="rId30" Type="http://schemas.openxmlformats.org/officeDocument/2006/relationships/hyperlink" Target="https://www.sec.gov/Archives/edgar/data/1673481/000149315226002838/form8-k.htm" TargetMode="External"/><Relationship Id="rId31" Type="http://schemas.openxmlformats.org/officeDocument/2006/relationships/hyperlink" Target="https://www.sec.gov/Archives/edgar/data/1673481/000149315226003455/form8-k.htm" TargetMode="External"/><Relationship Id="rId32" Type="http://schemas.openxmlformats.org/officeDocument/2006/relationships/hyperlink" Target="https://www.sec.gov/Archives/edgar/data/1673481/000149315226004344/form8-k.htm" TargetMode="External"/><Relationship Id="rId33" Type="http://schemas.openxmlformats.org/officeDocument/2006/relationships/hyperlink" Target="https://www.sec.gov/Archives/edgar/data/1673481/000149315226004615/form8-k.htm" TargetMode="External"/><Relationship Id="rId34" Type="http://schemas.openxmlformats.org/officeDocument/2006/relationships/hyperlink" Target="https://www.sec.gov/Archives/edgar/data/1673481/000149315226005832/form8-k.htm" TargetMode="External"/><Relationship Id="rId35" Type="http://schemas.openxmlformats.org/officeDocument/2006/relationships/hyperlink" Target="https://www.sec.gov/Archives/edgar/data/1673481/000149315226007446/form8-k.htm" TargetMode="External"/><Relationship Id="rId36" Type="http://schemas.openxmlformats.org/officeDocument/2006/relationships/hyperlink" Target="https://www.sec.gov/Archives/edgar/data/1673481/000149315226007783/form8-k.htm" TargetMode="External"/><Relationship Id="rId37" Type="http://schemas.openxmlformats.org/officeDocument/2006/relationships/hyperlink" Target="https://www.sec.gov/Archives/edgar/data/1673481/000149315226008525/form8-k.htm" TargetMode="External"/><Relationship Id="rId38" Type="http://schemas.openxmlformats.org/officeDocument/2006/relationships/hyperlink" Target="https://www.sec.gov/Archives/edgar/data/1673481/000149315226011299/form8-k.htm" TargetMode="External"/><Relationship Id="rId39" Type="http://schemas.openxmlformats.org/officeDocument/2006/relationships/hyperlink" Target="https://www.sec.gov/Archives/edgar/data/1673481/000121390022017159/f10k2021ex4-2_lottery.htm" TargetMode="External"/><Relationship Id="rId40" Type="http://schemas.openxmlformats.org/officeDocument/2006/relationships/hyperlink" Target="https://www.sec.gov/Archives/edgar/data/1673481/000121390021056782/ea149673ex3-1_lottery.htm" TargetMode="External"/><Relationship Id="rId41" Type="http://schemas.openxmlformats.org/officeDocument/2006/relationships/hyperlink" Target="https://www.sec.gov/Archives/edgar/data/1673481/000149315226004344/ex3-1.htm" TargetMode="External"/><Relationship Id="rId42" Type="http://schemas.openxmlformats.org/officeDocument/2006/relationships/hyperlink" Target="https://www.sec.gov/Archives/edgar/data/1673481/000121390021056782/ea149673ex3-2_lottery.htm" TargetMode="External"/><Relationship Id="rId43" Type="http://schemas.openxmlformats.org/officeDocument/2006/relationships/hyperlink" Target="https://www.sec.gov/Archives/edgar/data/1673481/000161577418004826/s110634_ex4-1.htm" TargetMode="External"/><Relationship Id="rId44" Type="http://schemas.openxmlformats.org/officeDocument/2006/relationships/hyperlink" Target="https://www.sec.gov/Archives/edgar/data/1673481/000121390022017159/f10k2021ex10-18_lottery.htm" TargetMode="External"/><Relationship Id="rId45" Type="http://schemas.openxmlformats.org/officeDocument/2006/relationships/hyperlink" Target="https://www.sec.gov/Archives/edgar/data/1673481/000121390022017159/f10k2021ex10-19_lottery.htm" TargetMode="External"/><Relationship Id="rId46" Type="http://schemas.openxmlformats.org/officeDocument/2006/relationships/hyperlink" Target="https://www.sec.gov/Archives/edgar/data/1673481/000121390022017159/f10k2021ex10-20_lottery.htm" TargetMode="External"/><Relationship Id="rId47" Type="http://schemas.openxmlformats.org/officeDocument/2006/relationships/image" Target="media/image1.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18458</Words>
  <Characters>95183</Characters>
  <CharactersWithSpaces>113737</CharactersWithSpaces>
  <Paragraphs>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